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C27EB" w14:textId="16653CBA" w:rsidR="00B57A06" w:rsidRPr="00685E01" w:rsidRDefault="00B57A06" w:rsidP="0053611F">
      <w:pPr>
        <w:rPr>
          <w:sz w:val="40"/>
          <w:szCs w:val="40"/>
        </w:rPr>
      </w:pPr>
    </w:p>
    <w:p w14:paraId="7D042FC5" w14:textId="77777777" w:rsidR="00B57A06" w:rsidRPr="000A7FD1" w:rsidRDefault="00B57A06" w:rsidP="00CC5F9D">
      <w:pPr>
        <w:pStyle w:val="SectionTitle"/>
      </w:pPr>
      <w:r w:rsidRPr="00685E01">
        <w:tab/>
      </w:r>
      <w:r w:rsidR="00FA529B" w:rsidRPr="000A7FD1">
        <w:t xml:space="preserve">SECTION </w:t>
      </w:r>
      <w:r w:rsidR="00AC1C61" w:rsidRPr="000A7FD1">
        <w:t>3</w:t>
      </w:r>
      <w:r w:rsidR="00FA529B" w:rsidRPr="000A7FD1">
        <w:t>00</w:t>
      </w:r>
    </w:p>
    <w:p w14:paraId="2F1DC704" w14:textId="47E82024" w:rsidR="000709F3" w:rsidRPr="000A7FD1" w:rsidRDefault="00501378" w:rsidP="008B6636">
      <w:r w:rsidRPr="000A7FD1">
        <w:rPr>
          <w:noProof/>
        </w:rPr>
        <mc:AlternateContent>
          <mc:Choice Requires="wps">
            <w:drawing>
              <wp:anchor distT="0" distB="0" distL="114300" distR="114300" simplePos="0" relativeHeight="251657728" behindDoc="1" locked="0" layoutInCell="0" allowOverlap="1" wp14:anchorId="23E536A4" wp14:editId="45AFBA38">
                <wp:simplePos x="0" y="0"/>
                <wp:positionH relativeFrom="margin">
                  <wp:posOffset>81887</wp:posOffset>
                </wp:positionH>
                <wp:positionV relativeFrom="paragraph">
                  <wp:posOffset>312373</wp:posOffset>
                </wp:positionV>
                <wp:extent cx="5866736" cy="92075"/>
                <wp:effectExtent l="0" t="0" r="1270" b="3175"/>
                <wp:wrapNone/>
                <wp:docPr id="5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6736" cy="92075"/>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07C33A" id="Rectangle 5" o:spid="_x0000_s1026" style="position:absolute;margin-left:6.45pt;margin-top:24.6pt;width:461.95pt;height:7.2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P0/dwIAAPoEAAAOAAAAZHJzL2Uyb0RvYy54bWysVFFv0zAQfkfiP1h+b5N0adpES6dtpQhp&#10;wMTgB7i201g4trHdpgPx3zk7bWnhZUL0wfXlzufvvvvO1zf7TqIdt05oVeNsnGLEFdVMqE2Nv3xe&#10;jeYYOU8UI1IrXuNn7vDN4vWr695UfKJbLRm3CJIoV/Wmxq33pkoSR1veETfWhitwNtp2xINpNwmz&#10;pIfsnUwmaVokvbbMWE25c/B1OTjxIuZvGk79x6Zx3CNZY8Dm42rjug5rsrgm1cYS0wp6gEH+AUVH&#10;hIJLT6mWxBO0teKvVJ2gVjvd+DHVXaKbRlAea4BqsvSPap5aYnisBchx5kST+39p6Yfdo0WC1XgK&#10;nVKkgx59AtaI2kiOpoGf3rgKwp7Mow0VOvOg6VeHlL5vIYrfWqv7lhMGqLIQn1wcCIaDo2jdv9cM&#10;spOt15GqfWO7kBBIQPvYkedTR/jeIwofp/OimF0VGFHwlZN0FhElpDoeNtb5t1x3KGxqbAF6TE52&#10;D84HMKQ6hkTwWgq2ElJGw27W99KiHQniiL+IH2o8D5MqBCsdjg0Zhy+AEe4IvoA2NvtHmU3y9G5S&#10;jlbFfDbKV/l0VM7S+SjNyruySPMyX65+BoBZXrWCMa4ehOJH4WX5yxp7GIFBMlF6qK9xcTWNpV+A&#10;dy+rsRMexlCKrsbzExGkCm19oxhUTSpPhBz2ySX6SDJQcPyPpEQRhL4P+llr9gwasBp6BGMIDwZs&#10;Wm2/Y9TD8NXYfdsSyzGS7xToqMzyPExrNPLpbAKGPfeszz1EUUhVY4/RsL33w4RvjRWbFm7KIjFK&#10;34L2GhF1EXQ5oDooFgYsVnB4DMIEn9sx6veTtfgFAAD//wMAUEsDBBQABgAIAAAAIQAVmQiS3AAA&#10;AAgBAAAPAAAAZHJzL2Rvd25yZXYueG1sTI/BTsMwEETvSPyDtUhcEHWaooSEOBVCgOBI4QM2tpsE&#10;4nVku234e5YTHEczmnnTbBc3iaMNcfSkYL3KQFjS3ozUK/h4f7q+BRETksHJk1XwbSNs2/OzBmvj&#10;T/Rmj7vUCy6hWKOCIaW5ljLqwTqMKz9bYm/vg8PEMvTSBDxxuZtknmWFdDgSLww424fB6q/dwSmQ&#10;VdTl8+Pn1Tr57kW/lgG7fanU5cVyfwci2SX9heEXn9GhZabOH8hEMbHOK04quKlyEOxXm4KvdAqK&#10;TQmybeT/A+0PAAAA//8DAFBLAQItABQABgAIAAAAIQC2gziS/gAAAOEBAAATAAAAAAAAAAAAAAAA&#10;AAAAAABbQ29udGVudF9UeXBlc10ueG1sUEsBAi0AFAAGAAgAAAAhADj9If/WAAAAlAEAAAsAAAAA&#10;AAAAAAAAAAAALwEAAF9yZWxzLy5yZWxzUEsBAi0AFAAGAAgAAAAhAINg/T93AgAA+gQAAA4AAAAA&#10;AAAAAAAAAAAALgIAAGRycy9lMm9Eb2MueG1sUEsBAi0AFAAGAAgAAAAhABWZCJLcAAAACAEAAA8A&#10;AAAAAAAAAAAAAAAA0QQAAGRycy9kb3ducmV2LnhtbFBLBQYAAAAABAAEAPMAAADaBQAAAAA=&#10;" o:allowincell="f" fillcolor="black" stroked="f" strokeweight=".05pt">
                <w10:wrap anchorx="margin"/>
              </v:rect>
            </w:pict>
          </mc:Fallback>
        </mc:AlternateContent>
      </w:r>
    </w:p>
    <w:p w14:paraId="1B529700" w14:textId="7D9B3FB6" w:rsidR="00B57A06" w:rsidRPr="000A7FD1" w:rsidRDefault="00B57A06" w:rsidP="008B6636"/>
    <w:p w14:paraId="4A778988" w14:textId="77777777" w:rsidR="00B57A06" w:rsidRPr="000A7FD1" w:rsidRDefault="00B57A06" w:rsidP="008B6636">
      <w:pPr>
        <w:pStyle w:val="StyleArialLinespacingAtleast12pt"/>
      </w:pPr>
    </w:p>
    <w:p w14:paraId="66E3F887" w14:textId="77777777" w:rsidR="00FA529B" w:rsidRPr="000A7FD1" w:rsidRDefault="00AC1C61" w:rsidP="008B6636">
      <w:pPr>
        <w:pStyle w:val="SectionSubtitle"/>
      </w:pPr>
      <w:r w:rsidRPr="000A7FD1">
        <w:t xml:space="preserve">Internal Control </w:t>
      </w:r>
      <w:r w:rsidR="00ED1A69" w:rsidRPr="000A7FD1">
        <w:t>Phase</w:t>
      </w:r>
    </w:p>
    <w:p w14:paraId="52C22FE1" w14:textId="77777777" w:rsidR="00FA529B" w:rsidRPr="000A7FD1" w:rsidRDefault="00FA529B" w:rsidP="008B6636">
      <w:pPr>
        <w:pStyle w:val="StyleArialLinespacingAtleast12pt"/>
      </w:pPr>
    </w:p>
    <w:p w14:paraId="7EB3A699" w14:textId="77777777" w:rsidR="00B57A06" w:rsidRPr="000A7FD1" w:rsidRDefault="007E3352" w:rsidP="00933216">
      <w:r w:rsidRPr="000A7FD1">
        <w:tab/>
      </w:r>
      <w:r w:rsidRPr="000A7FD1">
        <w:tab/>
      </w:r>
      <w:r w:rsidRPr="000A7FD1">
        <w:tab/>
      </w:r>
      <w:r w:rsidRPr="000A7FD1">
        <w:tab/>
      </w:r>
      <w:r w:rsidR="00B57A06" w:rsidRPr="000A7FD1">
        <w:tab/>
      </w:r>
    </w:p>
    <w:p w14:paraId="4D0B2FF2" w14:textId="77777777" w:rsidR="00B57A06" w:rsidRPr="000A7FD1" w:rsidRDefault="00B57A06" w:rsidP="008B6636"/>
    <w:p w14:paraId="413B3433" w14:textId="77777777" w:rsidR="00894994" w:rsidRPr="000A7FD1" w:rsidRDefault="00894994" w:rsidP="008B6636">
      <w:pPr>
        <w:sectPr w:rsidR="00894994" w:rsidRPr="000A7FD1" w:rsidSect="00666BFE">
          <w:headerReference w:type="even" r:id="rId8"/>
          <w:headerReference w:type="default" r:id="rId9"/>
          <w:footerReference w:type="even" r:id="rId10"/>
          <w:footerReference w:type="default" r:id="rId11"/>
          <w:endnotePr>
            <w:numFmt w:val="decimal"/>
          </w:endnotePr>
          <w:pgSz w:w="12240" w:h="15840"/>
          <w:pgMar w:top="1080" w:right="1440" w:bottom="1080" w:left="1080" w:header="720" w:footer="720" w:gutter="360"/>
          <w:pgNumType w:start="1"/>
          <w:cols w:space="720"/>
          <w:noEndnote/>
          <w:docGrid w:linePitch="326"/>
        </w:sectPr>
      </w:pPr>
    </w:p>
    <w:p w14:paraId="174E67D7" w14:textId="43AEA22B" w:rsidR="00763882" w:rsidRPr="000A7FD1" w:rsidRDefault="00A35331" w:rsidP="008C3469">
      <w:pPr>
        <w:pStyle w:val="Heading2FAM"/>
        <w:spacing w:after="120"/>
        <w:rPr>
          <w:rStyle w:val="StyleArialBold"/>
          <w:b/>
        </w:rPr>
      </w:pPr>
      <w:r w:rsidRPr="000A7FD1">
        <w:rPr>
          <w:rStyle w:val="StyleArialBold"/>
          <w:b/>
        </w:rPr>
        <w:lastRenderedPageBreak/>
        <w:t>Contents</w:t>
      </w:r>
      <w:r w:rsidR="00763882" w:rsidRPr="000A7FD1">
        <w:rPr>
          <w:rStyle w:val="StyleArialBold"/>
          <w:b/>
        </w:rPr>
        <w:t xml:space="preserve"> of the Internal Control Phase</w:t>
      </w:r>
    </w:p>
    <w:tbl>
      <w:tblPr>
        <w:tblW w:w="4902" w:type="pct"/>
        <w:tblInd w:w="139" w:type="dxa"/>
        <w:tblCellMar>
          <w:left w:w="139" w:type="dxa"/>
          <w:right w:w="139" w:type="dxa"/>
        </w:tblCellMar>
        <w:tblLook w:val="0000" w:firstRow="0" w:lastRow="0" w:firstColumn="0" w:lastColumn="0" w:noHBand="0" w:noVBand="0"/>
      </w:tblPr>
      <w:tblGrid>
        <w:gridCol w:w="9177"/>
      </w:tblGrid>
      <w:tr w:rsidR="00CC5F9D" w:rsidRPr="000A7FD1" w14:paraId="73CB763C" w14:textId="77777777" w:rsidTr="00CC5F9D">
        <w:tc>
          <w:tcPr>
            <w:tcW w:w="5000" w:type="pct"/>
            <w:shd w:val="pct25" w:color="auto" w:fill="auto"/>
          </w:tcPr>
          <w:p w14:paraId="35F25861" w14:textId="1D9023F7" w:rsidR="00CC5F9D" w:rsidRPr="000A7FD1" w:rsidRDefault="00CC5F9D" w:rsidP="00CC5F9D">
            <w:pPr>
              <w:tabs>
                <w:tab w:val="center" w:pos="4320"/>
                <w:tab w:val="center" w:pos="8681"/>
              </w:tabs>
              <w:spacing w:after="0"/>
              <w:rPr>
                <w:rStyle w:val="StyleArial10pt"/>
              </w:rPr>
            </w:pPr>
            <w:r w:rsidRPr="000A7FD1">
              <w:tab/>
            </w:r>
            <w:r w:rsidR="0008582D" w:rsidRPr="000A7FD1">
              <w:rPr>
                <w:rStyle w:val="StyleArialBold"/>
              </w:rPr>
              <w:t>Introduction</w:t>
            </w:r>
            <w:r w:rsidRPr="000A7FD1">
              <w:tab/>
            </w:r>
            <w:r w:rsidRPr="000A7FD1">
              <w:rPr>
                <w:rStyle w:val="StyleArialBold"/>
              </w:rPr>
              <w:t>FAM</w:t>
            </w:r>
          </w:p>
          <w:p w14:paraId="2D3560B3" w14:textId="77777777" w:rsidR="00CC5F9D" w:rsidRPr="000A7FD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A7FD1">
              <w:rPr>
                <w:rStyle w:val="StyleArial10pt"/>
                <w:sz w:val="18"/>
                <w:szCs w:val="18"/>
              </w:rPr>
              <w:t>Overview of the FAM Methodology</w:t>
            </w:r>
            <w:r w:rsidRPr="000A7FD1">
              <w:rPr>
                <w:rStyle w:val="StyleArial10pt"/>
                <w:sz w:val="18"/>
                <w:szCs w:val="18"/>
              </w:rPr>
              <w:tab/>
              <w:t>110</w:t>
            </w:r>
          </w:p>
        </w:tc>
      </w:tr>
      <w:tr w:rsidR="00CC5F9D" w:rsidRPr="000A7FD1" w14:paraId="0306B34C" w14:textId="77777777" w:rsidTr="00CC5F9D">
        <w:tc>
          <w:tcPr>
            <w:tcW w:w="5000" w:type="pct"/>
            <w:shd w:val="pct25" w:color="auto" w:fill="auto"/>
          </w:tcPr>
          <w:p w14:paraId="5F83D960" w14:textId="77777777" w:rsidR="00CC5F9D" w:rsidRPr="000A7FD1" w:rsidRDefault="00CC5F9D" w:rsidP="00CC5F9D">
            <w:pPr>
              <w:tabs>
                <w:tab w:val="center" w:pos="4320"/>
                <w:tab w:val="center" w:pos="8681"/>
              </w:tabs>
              <w:spacing w:after="0"/>
              <w:rPr>
                <w:rStyle w:val="StyleArial10pt"/>
              </w:rPr>
            </w:pPr>
            <w:r w:rsidRPr="000A7FD1">
              <w:tab/>
            </w:r>
            <w:r w:rsidRPr="000A7FD1">
              <w:rPr>
                <w:rStyle w:val="StyleArialBold"/>
              </w:rPr>
              <w:t>Planning Phase</w:t>
            </w:r>
            <w:r w:rsidRPr="000A7FD1">
              <w:tab/>
            </w:r>
            <w:r w:rsidRPr="000A7FD1">
              <w:rPr>
                <w:rStyle w:val="StyleArialBold"/>
              </w:rPr>
              <w:t>FAM</w:t>
            </w:r>
          </w:p>
          <w:p w14:paraId="60372232" w14:textId="77777777" w:rsidR="00CC5F9D" w:rsidRPr="000A7FD1" w:rsidRDefault="00CC5F9D" w:rsidP="00CC7A2D">
            <w:pPr>
              <w:pStyle w:val="ListParagraph"/>
              <w:numPr>
                <w:ilvl w:val="0"/>
                <w:numId w:val="20"/>
              </w:numPr>
              <w:tabs>
                <w:tab w:val="center" w:pos="8681"/>
              </w:tabs>
              <w:autoSpaceDE w:val="0"/>
              <w:autoSpaceDN w:val="0"/>
              <w:spacing w:before="0" w:after="0"/>
              <w:ind w:left="720"/>
              <w:textAlignment w:val="auto"/>
              <w:rPr>
                <w:rStyle w:val="StyleArial10pt"/>
                <w:sz w:val="18"/>
                <w:szCs w:val="18"/>
              </w:rPr>
            </w:pPr>
            <w:r w:rsidRPr="000A7FD1">
              <w:rPr>
                <w:rStyle w:val="StyleArial10pt"/>
                <w:sz w:val="18"/>
                <w:szCs w:val="18"/>
              </w:rPr>
              <w:t>Overview of the Planning Phase</w:t>
            </w:r>
            <w:r w:rsidRPr="000A7FD1">
              <w:rPr>
                <w:rStyle w:val="StyleArial10pt"/>
                <w:sz w:val="18"/>
                <w:szCs w:val="18"/>
              </w:rPr>
              <w:tab/>
              <w:t>210</w:t>
            </w:r>
          </w:p>
          <w:p w14:paraId="3E27CEB3" w14:textId="77777777" w:rsidR="00CC5F9D" w:rsidRPr="000A7FD1" w:rsidRDefault="00CC5F9D" w:rsidP="00CC7A2D">
            <w:pPr>
              <w:pStyle w:val="ListParagraph"/>
              <w:numPr>
                <w:ilvl w:val="0"/>
                <w:numId w:val="20"/>
              </w:numPr>
              <w:tabs>
                <w:tab w:val="center" w:pos="8681"/>
              </w:tabs>
              <w:autoSpaceDE w:val="0"/>
              <w:autoSpaceDN w:val="0"/>
              <w:spacing w:before="0" w:after="0"/>
              <w:ind w:left="720"/>
              <w:textAlignment w:val="auto"/>
              <w:rPr>
                <w:rStyle w:val="StyleArial10pt"/>
                <w:sz w:val="18"/>
                <w:szCs w:val="18"/>
              </w:rPr>
            </w:pPr>
            <w:r w:rsidRPr="000A7FD1">
              <w:rPr>
                <w:rStyle w:val="StyleArial10pt"/>
                <w:sz w:val="18"/>
                <w:szCs w:val="18"/>
              </w:rPr>
              <w:t>Perform Preliminary Engagement Activities</w:t>
            </w:r>
            <w:r w:rsidRPr="000A7FD1">
              <w:rPr>
                <w:rStyle w:val="StyleArial10pt"/>
                <w:sz w:val="18"/>
                <w:szCs w:val="18"/>
              </w:rPr>
              <w:tab/>
              <w:t>215</w:t>
            </w:r>
          </w:p>
          <w:p w14:paraId="18319082" w14:textId="77777777" w:rsidR="00CC5F9D" w:rsidRPr="000A7FD1" w:rsidRDefault="00CC5F9D" w:rsidP="00CC7A2D">
            <w:pPr>
              <w:pStyle w:val="ListParagraph"/>
              <w:numPr>
                <w:ilvl w:val="0"/>
                <w:numId w:val="20"/>
              </w:numPr>
              <w:tabs>
                <w:tab w:val="center" w:pos="8681"/>
              </w:tabs>
              <w:autoSpaceDE w:val="0"/>
              <w:autoSpaceDN w:val="0"/>
              <w:spacing w:before="0" w:after="0"/>
              <w:ind w:left="720"/>
              <w:textAlignment w:val="auto"/>
              <w:rPr>
                <w:rStyle w:val="StyleArial10pt"/>
                <w:sz w:val="18"/>
                <w:szCs w:val="18"/>
              </w:rPr>
            </w:pPr>
            <w:r w:rsidRPr="000A7FD1">
              <w:rPr>
                <w:rStyle w:val="StyleArial10pt"/>
                <w:sz w:val="18"/>
                <w:szCs w:val="18"/>
              </w:rPr>
              <w:t>Understand the Entity’s Operations</w:t>
            </w:r>
            <w:r w:rsidRPr="000A7FD1">
              <w:rPr>
                <w:rStyle w:val="StyleArial10pt"/>
                <w:sz w:val="18"/>
                <w:szCs w:val="18"/>
              </w:rPr>
              <w:tab/>
              <w:t>220</w:t>
            </w:r>
          </w:p>
          <w:p w14:paraId="408178C9" w14:textId="77777777" w:rsidR="00CC5F9D" w:rsidRPr="000A7FD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A7FD1">
              <w:rPr>
                <w:sz w:val="18"/>
                <w:szCs w:val="18"/>
              </w:rPr>
              <w:t>Perform Preliminary Analytical Procedures</w:t>
            </w:r>
            <w:r w:rsidRPr="000A7FD1">
              <w:rPr>
                <w:sz w:val="18"/>
                <w:szCs w:val="18"/>
              </w:rPr>
              <w:tab/>
              <w:t>225</w:t>
            </w:r>
          </w:p>
          <w:p w14:paraId="42037B48" w14:textId="77777777" w:rsidR="00CC5F9D" w:rsidRPr="000A7FD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A7FD1">
              <w:rPr>
                <w:sz w:val="18"/>
                <w:szCs w:val="18"/>
              </w:rPr>
              <w:t>Determine Materiality</w:t>
            </w:r>
            <w:r w:rsidRPr="000A7FD1">
              <w:rPr>
                <w:sz w:val="18"/>
                <w:szCs w:val="18"/>
              </w:rPr>
              <w:tab/>
              <w:t>230</w:t>
            </w:r>
          </w:p>
          <w:p w14:paraId="7DB585EC" w14:textId="78918921" w:rsidR="004849A6" w:rsidRPr="000A7FD1" w:rsidRDefault="00CC5F9D" w:rsidP="00304AD3">
            <w:pPr>
              <w:pStyle w:val="ListParagraph"/>
              <w:numPr>
                <w:ilvl w:val="0"/>
                <w:numId w:val="20"/>
              </w:numPr>
              <w:tabs>
                <w:tab w:val="center" w:pos="8681"/>
              </w:tabs>
              <w:autoSpaceDE w:val="0"/>
              <w:autoSpaceDN w:val="0"/>
              <w:spacing w:before="0" w:after="0"/>
              <w:ind w:left="720"/>
              <w:textAlignment w:val="auto"/>
              <w:rPr>
                <w:sz w:val="18"/>
                <w:szCs w:val="18"/>
              </w:rPr>
            </w:pPr>
            <w:r w:rsidRPr="000A7FD1">
              <w:rPr>
                <w:sz w:val="18"/>
                <w:szCs w:val="18"/>
              </w:rPr>
              <w:t xml:space="preserve">Identify </w:t>
            </w:r>
            <w:r w:rsidR="00560D91" w:rsidRPr="000A7FD1">
              <w:rPr>
                <w:sz w:val="18"/>
                <w:szCs w:val="18"/>
              </w:rPr>
              <w:t xml:space="preserve">Material </w:t>
            </w:r>
            <w:r w:rsidRPr="000A7FD1">
              <w:rPr>
                <w:sz w:val="18"/>
                <w:szCs w:val="18"/>
              </w:rPr>
              <w:t xml:space="preserve">Line Items, Accounts, </w:t>
            </w:r>
            <w:r w:rsidR="00560D91" w:rsidRPr="000A7FD1">
              <w:rPr>
                <w:sz w:val="18"/>
                <w:szCs w:val="18"/>
              </w:rPr>
              <w:t>Note Disclosures, and Classes of Transactions</w:t>
            </w:r>
            <w:r w:rsidR="004849A6" w:rsidRPr="000A7FD1">
              <w:rPr>
                <w:sz w:val="18"/>
                <w:szCs w:val="18"/>
              </w:rPr>
              <w:t>;                   235</w:t>
            </w:r>
          </w:p>
          <w:p w14:paraId="1D80951A" w14:textId="1D660D98" w:rsidR="00CC5F9D" w:rsidRPr="000A7FD1" w:rsidRDefault="00560D91" w:rsidP="004849A6">
            <w:pPr>
              <w:pStyle w:val="ListParagraph"/>
              <w:tabs>
                <w:tab w:val="center" w:pos="8681"/>
              </w:tabs>
              <w:autoSpaceDE w:val="0"/>
              <w:autoSpaceDN w:val="0"/>
              <w:spacing w:before="0" w:after="0"/>
              <w:textAlignment w:val="auto"/>
              <w:rPr>
                <w:sz w:val="18"/>
                <w:szCs w:val="18"/>
              </w:rPr>
            </w:pPr>
            <w:r w:rsidRPr="000A7FD1">
              <w:rPr>
                <w:sz w:val="18"/>
                <w:szCs w:val="18"/>
              </w:rPr>
              <w:t xml:space="preserve">Applicable </w:t>
            </w:r>
            <w:r w:rsidR="00CC5F9D" w:rsidRPr="000A7FD1">
              <w:rPr>
                <w:sz w:val="18"/>
                <w:szCs w:val="18"/>
              </w:rPr>
              <w:t>Assertions</w:t>
            </w:r>
            <w:r w:rsidR="004849A6" w:rsidRPr="000A7FD1">
              <w:rPr>
                <w:sz w:val="18"/>
                <w:szCs w:val="18"/>
              </w:rPr>
              <w:t>; and Significant Financial Management Systems</w:t>
            </w:r>
            <w:r w:rsidR="00CC5F9D" w:rsidRPr="000A7FD1">
              <w:rPr>
                <w:sz w:val="18"/>
                <w:szCs w:val="18"/>
              </w:rPr>
              <w:tab/>
            </w:r>
          </w:p>
          <w:p w14:paraId="68E4B580" w14:textId="755A45BB" w:rsidR="00CC5F9D" w:rsidRPr="000A7FD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A7FD1">
              <w:rPr>
                <w:sz w:val="18"/>
                <w:szCs w:val="18"/>
              </w:rPr>
              <w:t xml:space="preserve">Identify Significant Provisions of </w:t>
            </w:r>
            <w:r w:rsidR="00D310D1" w:rsidRPr="000A7FD1">
              <w:rPr>
                <w:sz w:val="18"/>
                <w:szCs w:val="18"/>
              </w:rPr>
              <w:t xml:space="preserve">Applicable </w:t>
            </w:r>
            <w:r w:rsidRPr="000A7FD1">
              <w:rPr>
                <w:sz w:val="18"/>
                <w:szCs w:val="18"/>
              </w:rPr>
              <w:t>Laws, Regulations, Contracts, and Grant Agreements</w:t>
            </w:r>
            <w:r w:rsidRPr="000A7FD1">
              <w:rPr>
                <w:sz w:val="18"/>
                <w:szCs w:val="18"/>
              </w:rPr>
              <w:tab/>
              <w:t>245</w:t>
            </w:r>
          </w:p>
          <w:p w14:paraId="2913CC0A" w14:textId="77777777" w:rsidR="00CC5F9D" w:rsidRPr="000A7FD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A7FD1">
              <w:rPr>
                <w:sz w:val="18"/>
                <w:szCs w:val="18"/>
              </w:rPr>
              <w:t>Identify Relevant Budget Restrictions</w:t>
            </w:r>
            <w:r w:rsidRPr="000A7FD1">
              <w:rPr>
                <w:sz w:val="18"/>
                <w:szCs w:val="18"/>
              </w:rPr>
              <w:tab/>
              <w:t>250</w:t>
            </w:r>
          </w:p>
          <w:p w14:paraId="5DF747CA" w14:textId="5C897232" w:rsidR="00560D91" w:rsidRPr="000A7FD1" w:rsidRDefault="009D3067" w:rsidP="00560D91">
            <w:pPr>
              <w:pStyle w:val="ListParagraph"/>
              <w:numPr>
                <w:ilvl w:val="0"/>
                <w:numId w:val="20"/>
              </w:numPr>
              <w:tabs>
                <w:tab w:val="center" w:pos="8681"/>
              </w:tabs>
              <w:autoSpaceDE w:val="0"/>
              <w:autoSpaceDN w:val="0"/>
              <w:spacing w:before="0" w:after="0"/>
              <w:ind w:left="720"/>
              <w:textAlignment w:val="auto"/>
              <w:rPr>
                <w:sz w:val="18"/>
                <w:szCs w:val="18"/>
              </w:rPr>
            </w:pPr>
            <w:r w:rsidRPr="000A7FD1">
              <w:rPr>
                <w:sz w:val="18"/>
                <w:szCs w:val="18"/>
              </w:rPr>
              <w:t>Understand the Entity’s Internal Control</w:t>
            </w:r>
            <w:r w:rsidR="00CC5F9D" w:rsidRPr="000A7FD1">
              <w:rPr>
                <w:sz w:val="18"/>
                <w:szCs w:val="18"/>
              </w:rPr>
              <w:tab/>
              <w:t>260</w:t>
            </w:r>
          </w:p>
          <w:p w14:paraId="678F8FD8" w14:textId="00EA77E0" w:rsidR="00560D91" w:rsidRPr="000A7FD1" w:rsidRDefault="009D3067" w:rsidP="00560D91">
            <w:pPr>
              <w:pStyle w:val="ListParagraph"/>
              <w:numPr>
                <w:ilvl w:val="0"/>
                <w:numId w:val="20"/>
              </w:numPr>
              <w:tabs>
                <w:tab w:val="center" w:pos="8681"/>
              </w:tabs>
              <w:autoSpaceDE w:val="0"/>
              <w:autoSpaceDN w:val="0"/>
              <w:spacing w:before="0" w:after="0"/>
              <w:ind w:left="720"/>
              <w:textAlignment w:val="auto"/>
              <w:rPr>
                <w:sz w:val="18"/>
                <w:szCs w:val="18"/>
              </w:rPr>
            </w:pPr>
            <w:r w:rsidRPr="000A7FD1">
              <w:rPr>
                <w:sz w:val="18"/>
                <w:szCs w:val="18"/>
              </w:rPr>
              <w:t>Identify Risks of Material Misstatement and Assess Inherent Risk</w:t>
            </w:r>
            <w:r w:rsidR="00560D91" w:rsidRPr="000A7FD1">
              <w:rPr>
                <w:sz w:val="18"/>
                <w:szCs w:val="18"/>
              </w:rPr>
              <w:tab/>
              <w:t>265</w:t>
            </w:r>
          </w:p>
          <w:p w14:paraId="1ED2C140" w14:textId="5977A4BA" w:rsidR="00CC5F9D" w:rsidRPr="000A7FD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A7FD1">
              <w:rPr>
                <w:sz w:val="18"/>
                <w:szCs w:val="18"/>
              </w:rPr>
              <w:t>Determine Likelihood of Effective IS Controls</w:t>
            </w:r>
            <w:r w:rsidRPr="000A7FD1">
              <w:rPr>
                <w:sz w:val="18"/>
                <w:szCs w:val="18"/>
              </w:rPr>
              <w:tab/>
              <w:t>270</w:t>
            </w:r>
          </w:p>
          <w:p w14:paraId="164C69AD" w14:textId="77777777" w:rsidR="00CC5F9D" w:rsidRPr="000A7FD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A7FD1">
              <w:rPr>
                <w:sz w:val="18"/>
                <w:szCs w:val="18"/>
              </w:rPr>
              <w:t>Identify Relevant Operations Controls to Evaluate and Test</w:t>
            </w:r>
            <w:r w:rsidRPr="000A7FD1">
              <w:rPr>
                <w:sz w:val="18"/>
                <w:szCs w:val="18"/>
              </w:rPr>
              <w:tab/>
              <w:t>275</w:t>
            </w:r>
          </w:p>
          <w:p w14:paraId="0C7ED8E2" w14:textId="77777777" w:rsidR="00CC5F9D" w:rsidRPr="000A7FD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A7FD1">
              <w:rPr>
                <w:sz w:val="18"/>
                <w:szCs w:val="18"/>
              </w:rPr>
              <w:t>Plan Other Audit Procedures</w:t>
            </w:r>
            <w:r w:rsidRPr="000A7FD1">
              <w:rPr>
                <w:sz w:val="18"/>
                <w:szCs w:val="18"/>
              </w:rPr>
              <w:tab/>
              <w:t>280</w:t>
            </w:r>
          </w:p>
          <w:p w14:paraId="79531111" w14:textId="3DC07420" w:rsidR="00CC5F9D" w:rsidRPr="000A7FD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A7FD1">
              <w:rPr>
                <w:sz w:val="18"/>
                <w:szCs w:val="18"/>
              </w:rPr>
              <w:t xml:space="preserve">Plan Locations to </w:t>
            </w:r>
            <w:r w:rsidR="0011015B" w:rsidRPr="000A7FD1">
              <w:rPr>
                <w:sz w:val="18"/>
                <w:szCs w:val="18"/>
              </w:rPr>
              <w:t>Test</w:t>
            </w:r>
            <w:r w:rsidRPr="000A7FD1">
              <w:rPr>
                <w:sz w:val="18"/>
                <w:szCs w:val="18"/>
              </w:rPr>
              <w:tab/>
              <w:t>285</w:t>
            </w:r>
          </w:p>
          <w:p w14:paraId="02C2B782" w14:textId="77777777" w:rsidR="00CC5F9D" w:rsidRPr="000A7FD1" w:rsidDel="00D1774B" w:rsidRDefault="00CC5F9D" w:rsidP="00CC7A2D">
            <w:pPr>
              <w:pStyle w:val="ListParagraph"/>
              <w:numPr>
                <w:ilvl w:val="0"/>
                <w:numId w:val="20"/>
              </w:numPr>
              <w:tabs>
                <w:tab w:val="center" w:pos="8681"/>
              </w:tabs>
              <w:autoSpaceDE w:val="0"/>
              <w:autoSpaceDN w:val="0"/>
              <w:spacing w:before="0"/>
              <w:ind w:left="720"/>
              <w:textAlignment w:val="auto"/>
              <w:rPr>
                <w:sz w:val="20"/>
                <w:szCs w:val="20"/>
              </w:rPr>
            </w:pPr>
            <w:r w:rsidRPr="000A7FD1">
              <w:rPr>
                <w:sz w:val="18"/>
                <w:szCs w:val="18"/>
              </w:rPr>
              <w:t>Documentation</w:t>
            </w:r>
            <w:r w:rsidRPr="000A7FD1">
              <w:rPr>
                <w:sz w:val="18"/>
                <w:szCs w:val="18"/>
              </w:rPr>
              <w:tab/>
              <w:t>290</w:t>
            </w:r>
          </w:p>
        </w:tc>
      </w:tr>
      <w:tr w:rsidR="00CC5F9D" w:rsidRPr="000A7FD1" w14:paraId="3B262D10" w14:textId="77777777" w:rsidTr="00CC5F9D">
        <w:tc>
          <w:tcPr>
            <w:tcW w:w="5000" w:type="pct"/>
            <w:shd w:val="clear" w:color="auto" w:fill="auto"/>
          </w:tcPr>
          <w:p w14:paraId="33191F83" w14:textId="77777777" w:rsidR="00CC5F9D" w:rsidRPr="000A7FD1" w:rsidRDefault="00CC5F9D" w:rsidP="00454C15">
            <w:pPr>
              <w:tabs>
                <w:tab w:val="center" w:pos="4320"/>
                <w:tab w:val="center" w:pos="8681"/>
              </w:tabs>
              <w:spacing w:after="0"/>
              <w:rPr>
                <w:rStyle w:val="StyleArialBold"/>
              </w:rPr>
            </w:pPr>
            <w:r w:rsidRPr="000A7FD1">
              <w:tab/>
            </w:r>
            <w:r w:rsidRPr="000A7FD1">
              <w:rPr>
                <w:rStyle w:val="StyleArialBold"/>
              </w:rPr>
              <w:t>Internal Control Phase</w:t>
            </w:r>
            <w:r w:rsidRPr="000A7FD1">
              <w:rPr>
                <w:rStyle w:val="StyleArialBold"/>
              </w:rPr>
              <w:tab/>
              <w:t>FAM</w:t>
            </w:r>
          </w:p>
          <w:p w14:paraId="65DAB834" w14:textId="77777777" w:rsidR="00CC5F9D" w:rsidRPr="000A7FD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A7FD1">
              <w:rPr>
                <w:sz w:val="18"/>
                <w:szCs w:val="18"/>
              </w:rPr>
              <w:t>Overview of the Internal Control Phase</w:t>
            </w:r>
            <w:r w:rsidRPr="000A7FD1">
              <w:rPr>
                <w:rStyle w:val="StyleArial10pt"/>
                <w:sz w:val="18"/>
                <w:szCs w:val="18"/>
              </w:rPr>
              <w:tab/>
              <w:t>310</w:t>
            </w:r>
          </w:p>
          <w:p w14:paraId="12D9905D" w14:textId="77777777" w:rsidR="00CC5F9D" w:rsidRPr="000A7FD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A7FD1">
              <w:rPr>
                <w:sz w:val="18"/>
                <w:szCs w:val="18"/>
              </w:rPr>
              <w:t>Understand Information Systems</w:t>
            </w:r>
            <w:r w:rsidRPr="000A7FD1">
              <w:rPr>
                <w:sz w:val="18"/>
                <w:szCs w:val="18"/>
              </w:rPr>
              <w:tab/>
              <w:t>320</w:t>
            </w:r>
          </w:p>
          <w:p w14:paraId="3F8401B9" w14:textId="77777777" w:rsidR="00CC5F9D" w:rsidRPr="000A7FD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A7FD1">
              <w:rPr>
                <w:sz w:val="18"/>
                <w:szCs w:val="18"/>
              </w:rPr>
              <w:t>Identify Control Objectives</w:t>
            </w:r>
            <w:r w:rsidRPr="000A7FD1">
              <w:rPr>
                <w:sz w:val="18"/>
                <w:szCs w:val="18"/>
              </w:rPr>
              <w:tab/>
              <w:t>330</w:t>
            </w:r>
          </w:p>
          <w:p w14:paraId="4642EA0D" w14:textId="1FEEC59A" w:rsidR="00CC5F9D" w:rsidRPr="000A7FD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A7FD1">
              <w:rPr>
                <w:sz w:val="18"/>
                <w:szCs w:val="18"/>
              </w:rPr>
              <w:t>Identify and Understand Control Activities</w:t>
            </w:r>
            <w:r w:rsidRPr="000A7FD1">
              <w:rPr>
                <w:sz w:val="18"/>
                <w:szCs w:val="18"/>
              </w:rPr>
              <w:tab/>
              <w:t>340</w:t>
            </w:r>
          </w:p>
          <w:p w14:paraId="1019D861" w14:textId="1B33CEB6" w:rsidR="00CC5F9D" w:rsidRPr="000A7FD1" w:rsidRDefault="00CC5F9D" w:rsidP="00A17997">
            <w:pPr>
              <w:pStyle w:val="ListParagraph"/>
              <w:numPr>
                <w:ilvl w:val="0"/>
                <w:numId w:val="20"/>
              </w:numPr>
              <w:tabs>
                <w:tab w:val="center" w:pos="8681"/>
              </w:tabs>
              <w:autoSpaceDE w:val="0"/>
              <w:autoSpaceDN w:val="0"/>
              <w:spacing w:before="0" w:after="0"/>
              <w:ind w:left="720"/>
              <w:textAlignment w:val="auto"/>
              <w:rPr>
                <w:sz w:val="18"/>
                <w:szCs w:val="18"/>
              </w:rPr>
            </w:pPr>
            <w:r w:rsidRPr="000A7FD1">
              <w:rPr>
                <w:sz w:val="18"/>
                <w:szCs w:val="18"/>
              </w:rPr>
              <w:t xml:space="preserve">Determine the Nature, Extent, and Timing of Tests </w:t>
            </w:r>
            <w:r w:rsidR="00B706F1" w:rsidRPr="000A7FD1">
              <w:rPr>
                <w:sz w:val="18"/>
                <w:szCs w:val="18"/>
              </w:rPr>
              <w:t xml:space="preserve">of Controls </w:t>
            </w:r>
            <w:r w:rsidRPr="000A7FD1">
              <w:rPr>
                <w:sz w:val="18"/>
                <w:szCs w:val="18"/>
              </w:rPr>
              <w:t>and</w:t>
            </w:r>
            <w:r w:rsidR="00B706F1" w:rsidRPr="000A7FD1">
              <w:rPr>
                <w:sz w:val="18"/>
                <w:szCs w:val="18"/>
              </w:rPr>
              <w:t xml:space="preserve"> </w:t>
            </w:r>
            <w:r w:rsidRPr="000A7FD1">
              <w:rPr>
                <w:sz w:val="18"/>
                <w:szCs w:val="18"/>
              </w:rPr>
              <w:t>Compliance with FFMIA</w:t>
            </w:r>
            <w:r w:rsidRPr="000A7FD1">
              <w:rPr>
                <w:sz w:val="18"/>
                <w:szCs w:val="18"/>
              </w:rPr>
              <w:tab/>
              <w:t>350</w:t>
            </w:r>
          </w:p>
          <w:p w14:paraId="4A8ECB0B" w14:textId="0E11EFAF" w:rsidR="00CC5F9D" w:rsidRPr="000A7FD1" w:rsidRDefault="0076798B" w:rsidP="00CC7A2D">
            <w:pPr>
              <w:pStyle w:val="ListParagraph"/>
              <w:numPr>
                <w:ilvl w:val="0"/>
                <w:numId w:val="20"/>
              </w:numPr>
              <w:tabs>
                <w:tab w:val="center" w:pos="8681"/>
              </w:tabs>
              <w:autoSpaceDE w:val="0"/>
              <w:autoSpaceDN w:val="0"/>
              <w:spacing w:before="0" w:after="0"/>
              <w:ind w:left="720"/>
              <w:textAlignment w:val="auto"/>
              <w:rPr>
                <w:sz w:val="18"/>
                <w:szCs w:val="18"/>
              </w:rPr>
            </w:pPr>
            <w:r w:rsidRPr="000A7FD1">
              <w:rPr>
                <w:sz w:val="18"/>
                <w:szCs w:val="18"/>
              </w:rPr>
              <w:t xml:space="preserve">Perform </w:t>
            </w:r>
            <w:r w:rsidR="007E54A0" w:rsidRPr="000A7FD1">
              <w:rPr>
                <w:sz w:val="18"/>
                <w:szCs w:val="18"/>
              </w:rPr>
              <w:t>Test</w:t>
            </w:r>
            <w:r w:rsidRPr="000A7FD1">
              <w:rPr>
                <w:sz w:val="18"/>
                <w:szCs w:val="18"/>
              </w:rPr>
              <w:t>s of</w:t>
            </w:r>
            <w:r w:rsidR="007E54A0" w:rsidRPr="000A7FD1">
              <w:rPr>
                <w:sz w:val="18"/>
                <w:szCs w:val="18"/>
              </w:rPr>
              <w:t xml:space="preserve"> Controls</w:t>
            </w:r>
            <w:r w:rsidR="0073682A" w:rsidRPr="000A7FD1">
              <w:rPr>
                <w:sz w:val="18"/>
                <w:szCs w:val="18"/>
              </w:rPr>
              <w:t xml:space="preserve"> </w:t>
            </w:r>
            <w:r w:rsidR="0011015B" w:rsidRPr="000A7FD1">
              <w:rPr>
                <w:sz w:val="18"/>
                <w:szCs w:val="18"/>
              </w:rPr>
              <w:t xml:space="preserve">and </w:t>
            </w:r>
            <w:r w:rsidR="00CC5F9D" w:rsidRPr="000A7FD1">
              <w:rPr>
                <w:sz w:val="18"/>
                <w:szCs w:val="18"/>
              </w:rPr>
              <w:t>Compliance with FFMIA</w:t>
            </w:r>
            <w:r w:rsidR="00CC5F9D" w:rsidRPr="000A7FD1">
              <w:rPr>
                <w:sz w:val="18"/>
                <w:szCs w:val="18"/>
              </w:rPr>
              <w:tab/>
              <w:t>360</w:t>
            </w:r>
          </w:p>
          <w:p w14:paraId="63103B9D" w14:textId="77777777" w:rsidR="00CC5F9D" w:rsidRPr="000A7FD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A7FD1">
              <w:rPr>
                <w:sz w:val="18"/>
                <w:szCs w:val="18"/>
              </w:rPr>
              <w:t>Assess Internal Control on a Preliminary Basis</w:t>
            </w:r>
            <w:r w:rsidRPr="000A7FD1">
              <w:rPr>
                <w:sz w:val="18"/>
                <w:szCs w:val="18"/>
              </w:rPr>
              <w:tab/>
              <w:t>370</w:t>
            </w:r>
          </w:p>
          <w:p w14:paraId="00CBCEFB" w14:textId="77777777" w:rsidR="00CC5F9D" w:rsidRPr="000A7FD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A7FD1">
              <w:rPr>
                <w:sz w:val="18"/>
                <w:szCs w:val="18"/>
              </w:rPr>
              <w:t>Other Considerations</w:t>
            </w:r>
            <w:r w:rsidRPr="000A7FD1">
              <w:rPr>
                <w:sz w:val="18"/>
                <w:szCs w:val="18"/>
              </w:rPr>
              <w:tab/>
              <w:t>380</w:t>
            </w:r>
          </w:p>
          <w:p w14:paraId="25D0179A" w14:textId="77777777" w:rsidR="00CC5F9D" w:rsidRPr="000A7FD1" w:rsidDel="00D1774B" w:rsidRDefault="00CC5F9D" w:rsidP="00CC7A2D">
            <w:pPr>
              <w:pStyle w:val="ListParagraph"/>
              <w:numPr>
                <w:ilvl w:val="0"/>
                <w:numId w:val="20"/>
              </w:numPr>
              <w:tabs>
                <w:tab w:val="center" w:pos="8681"/>
              </w:tabs>
              <w:autoSpaceDE w:val="0"/>
              <w:autoSpaceDN w:val="0"/>
              <w:spacing w:before="0"/>
              <w:ind w:left="720"/>
              <w:textAlignment w:val="auto"/>
              <w:rPr>
                <w:sz w:val="20"/>
                <w:szCs w:val="20"/>
              </w:rPr>
            </w:pPr>
            <w:r w:rsidRPr="000A7FD1">
              <w:rPr>
                <w:sz w:val="18"/>
                <w:szCs w:val="18"/>
              </w:rPr>
              <w:t>Documentation</w:t>
            </w:r>
            <w:r w:rsidRPr="000A7FD1">
              <w:rPr>
                <w:sz w:val="18"/>
                <w:szCs w:val="18"/>
              </w:rPr>
              <w:tab/>
              <w:t xml:space="preserve">390  </w:t>
            </w:r>
          </w:p>
        </w:tc>
      </w:tr>
      <w:tr w:rsidR="00CC5F9D" w:rsidRPr="000A7FD1" w14:paraId="7E0BC2F8" w14:textId="77777777" w:rsidTr="00353A9C">
        <w:tc>
          <w:tcPr>
            <w:tcW w:w="5000" w:type="pct"/>
            <w:shd w:val="pct25" w:color="auto" w:fill="auto"/>
          </w:tcPr>
          <w:p w14:paraId="429B940B" w14:textId="77777777" w:rsidR="00CC5F9D" w:rsidRPr="000A7FD1" w:rsidRDefault="00CC5F9D" w:rsidP="00454C15">
            <w:pPr>
              <w:tabs>
                <w:tab w:val="center" w:pos="4320"/>
                <w:tab w:val="center" w:pos="8681"/>
              </w:tabs>
              <w:spacing w:after="0"/>
              <w:rPr>
                <w:rStyle w:val="StyleArial10pt"/>
                <w:sz w:val="22"/>
              </w:rPr>
            </w:pPr>
            <w:r w:rsidRPr="000A7FD1">
              <w:rPr>
                <w:rStyle w:val="StyleArial10pt"/>
                <w:sz w:val="22"/>
              </w:rPr>
              <w:tab/>
            </w:r>
            <w:r w:rsidRPr="000A7FD1">
              <w:rPr>
                <w:rStyle w:val="StyleArialBold"/>
              </w:rPr>
              <w:t>Testing Phase</w:t>
            </w:r>
            <w:r w:rsidRPr="000A7FD1">
              <w:tab/>
            </w:r>
            <w:r w:rsidRPr="000A7FD1">
              <w:rPr>
                <w:rStyle w:val="StyleArialBold"/>
              </w:rPr>
              <w:t>FAM</w:t>
            </w:r>
          </w:p>
          <w:p w14:paraId="658B4841" w14:textId="77777777" w:rsidR="00CC5F9D" w:rsidRPr="000A7FD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A7FD1">
              <w:rPr>
                <w:sz w:val="18"/>
                <w:szCs w:val="18"/>
              </w:rPr>
              <w:t>Overview of the Testing Phase</w:t>
            </w:r>
            <w:r w:rsidRPr="000A7FD1">
              <w:rPr>
                <w:rStyle w:val="StyleArial10pt"/>
                <w:sz w:val="18"/>
                <w:szCs w:val="18"/>
              </w:rPr>
              <w:tab/>
              <w:t>410</w:t>
            </w:r>
          </w:p>
          <w:p w14:paraId="2B5FD2C9" w14:textId="261F6BD4" w:rsidR="00CC5F9D" w:rsidRPr="000A7FD1" w:rsidRDefault="007445EC" w:rsidP="00CC7A2D">
            <w:pPr>
              <w:pStyle w:val="ListParagraph"/>
              <w:numPr>
                <w:ilvl w:val="0"/>
                <w:numId w:val="20"/>
              </w:numPr>
              <w:tabs>
                <w:tab w:val="center" w:pos="8681"/>
              </w:tabs>
              <w:autoSpaceDE w:val="0"/>
              <w:autoSpaceDN w:val="0"/>
              <w:spacing w:before="0" w:after="0"/>
              <w:ind w:left="720"/>
              <w:textAlignment w:val="auto"/>
              <w:rPr>
                <w:sz w:val="18"/>
                <w:szCs w:val="18"/>
              </w:rPr>
            </w:pPr>
            <w:r w:rsidRPr="000A7FD1">
              <w:rPr>
                <w:sz w:val="18"/>
                <w:szCs w:val="18"/>
              </w:rPr>
              <w:t xml:space="preserve">Determine </w:t>
            </w:r>
            <w:r w:rsidR="00CC5F9D" w:rsidRPr="000A7FD1">
              <w:rPr>
                <w:sz w:val="18"/>
                <w:szCs w:val="18"/>
              </w:rPr>
              <w:t>the Nature, Extent, and Timing of Further Audit Procedures</w:t>
            </w:r>
            <w:r w:rsidR="00CC5F9D" w:rsidRPr="000A7FD1">
              <w:rPr>
                <w:sz w:val="18"/>
                <w:szCs w:val="18"/>
              </w:rPr>
              <w:tab/>
              <w:t>420</w:t>
            </w:r>
          </w:p>
          <w:p w14:paraId="16263573" w14:textId="77777777" w:rsidR="00CC5F9D" w:rsidRPr="000A7FD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A7FD1">
              <w:rPr>
                <w:sz w:val="18"/>
                <w:szCs w:val="18"/>
              </w:rPr>
              <w:t>Design Tests</w:t>
            </w:r>
            <w:r w:rsidRPr="000A7FD1">
              <w:rPr>
                <w:sz w:val="18"/>
                <w:szCs w:val="18"/>
              </w:rPr>
              <w:tab/>
              <w:t>430</w:t>
            </w:r>
          </w:p>
          <w:p w14:paraId="52DD3ABE" w14:textId="77777777" w:rsidR="00CC5F9D" w:rsidRPr="000A7FD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A7FD1">
              <w:rPr>
                <w:sz w:val="18"/>
                <w:szCs w:val="18"/>
              </w:rPr>
              <w:t>Perform Tests and Evaluate Results</w:t>
            </w:r>
            <w:r w:rsidRPr="000A7FD1">
              <w:rPr>
                <w:sz w:val="18"/>
                <w:szCs w:val="18"/>
              </w:rPr>
              <w:tab/>
              <w:t>440</w:t>
            </w:r>
          </w:p>
          <w:p w14:paraId="0C236D2F" w14:textId="5490101F" w:rsidR="00CC5F9D" w:rsidRPr="000A7FD1" w:rsidRDefault="008C3469" w:rsidP="00CC7A2D">
            <w:pPr>
              <w:pStyle w:val="ListParagraph"/>
              <w:numPr>
                <w:ilvl w:val="0"/>
                <w:numId w:val="20"/>
              </w:numPr>
              <w:tabs>
                <w:tab w:val="center" w:pos="8681"/>
              </w:tabs>
              <w:autoSpaceDE w:val="0"/>
              <w:autoSpaceDN w:val="0"/>
              <w:spacing w:before="0" w:after="0"/>
              <w:ind w:left="720"/>
              <w:textAlignment w:val="auto"/>
              <w:rPr>
                <w:rStyle w:val="StyleArial10pt"/>
                <w:sz w:val="18"/>
                <w:szCs w:val="18"/>
              </w:rPr>
            </w:pPr>
            <w:r w:rsidRPr="000A7FD1">
              <w:rPr>
                <w:rStyle w:val="StyleArial10pt"/>
                <w:sz w:val="18"/>
                <w:szCs w:val="18"/>
              </w:rPr>
              <w:t xml:space="preserve">Perform </w:t>
            </w:r>
            <w:r w:rsidR="00CC5F9D" w:rsidRPr="000A7FD1">
              <w:rPr>
                <w:rStyle w:val="StyleArial10pt"/>
                <w:sz w:val="18"/>
                <w:szCs w:val="18"/>
              </w:rPr>
              <w:t>Sampling Control Tests</w:t>
            </w:r>
            <w:r w:rsidR="00CC5F9D" w:rsidRPr="000A7FD1">
              <w:rPr>
                <w:rStyle w:val="StyleArial10pt"/>
                <w:sz w:val="18"/>
                <w:szCs w:val="18"/>
              </w:rPr>
              <w:tab/>
              <w:t>450</w:t>
            </w:r>
          </w:p>
          <w:p w14:paraId="4620559A" w14:textId="0F8FB0DE" w:rsidR="00CC5F9D" w:rsidRPr="000A7FD1" w:rsidRDefault="008C3469" w:rsidP="00CC7A2D">
            <w:pPr>
              <w:pStyle w:val="ListParagraph"/>
              <w:numPr>
                <w:ilvl w:val="0"/>
                <w:numId w:val="20"/>
              </w:numPr>
              <w:tabs>
                <w:tab w:val="center" w:pos="8681"/>
              </w:tabs>
              <w:autoSpaceDE w:val="0"/>
              <w:autoSpaceDN w:val="0"/>
              <w:spacing w:before="0" w:after="0"/>
              <w:ind w:left="720"/>
              <w:textAlignment w:val="auto"/>
              <w:rPr>
                <w:rStyle w:val="StyleArial10pt"/>
                <w:sz w:val="18"/>
                <w:szCs w:val="18"/>
              </w:rPr>
            </w:pPr>
            <w:r w:rsidRPr="000A7FD1">
              <w:rPr>
                <w:rStyle w:val="StyleArial10pt"/>
                <w:sz w:val="18"/>
                <w:szCs w:val="18"/>
              </w:rPr>
              <w:t xml:space="preserve">Perform </w:t>
            </w:r>
            <w:r w:rsidR="00CC5F9D" w:rsidRPr="000A7FD1">
              <w:rPr>
                <w:rStyle w:val="StyleArial10pt"/>
                <w:sz w:val="18"/>
                <w:szCs w:val="18"/>
              </w:rPr>
              <w:t>Compliance Tests</w:t>
            </w:r>
            <w:r w:rsidR="00CC5F9D" w:rsidRPr="000A7FD1">
              <w:rPr>
                <w:rStyle w:val="StyleArial10pt"/>
                <w:sz w:val="18"/>
                <w:szCs w:val="18"/>
              </w:rPr>
              <w:tab/>
              <w:t>460</w:t>
            </w:r>
          </w:p>
          <w:p w14:paraId="6180D141" w14:textId="1438D67B" w:rsidR="00CC5F9D" w:rsidRPr="000A7FD1" w:rsidRDefault="008C3469" w:rsidP="00CC7A2D">
            <w:pPr>
              <w:pStyle w:val="ListParagraph"/>
              <w:numPr>
                <w:ilvl w:val="0"/>
                <w:numId w:val="20"/>
              </w:numPr>
              <w:tabs>
                <w:tab w:val="center" w:pos="8681"/>
              </w:tabs>
              <w:autoSpaceDE w:val="0"/>
              <w:autoSpaceDN w:val="0"/>
              <w:spacing w:before="0" w:after="0"/>
              <w:ind w:left="720"/>
              <w:textAlignment w:val="auto"/>
              <w:rPr>
                <w:rStyle w:val="StyleArial10pt"/>
                <w:sz w:val="18"/>
                <w:szCs w:val="18"/>
              </w:rPr>
            </w:pPr>
            <w:r w:rsidRPr="000A7FD1">
              <w:rPr>
                <w:rStyle w:val="StyleArial10pt"/>
                <w:sz w:val="18"/>
                <w:szCs w:val="18"/>
              </w:rPr>
              <w:t xml:space="preserve">Perform </w:t>
            </w:r>
            <w:r w:rsidR="00CC5F9D" w:rsidRPr="000A7FD1">
              <w:rPr>
                <w:rStyle w:val="StyleArial10pt"/>
                <w:sz w:val="18"/>
                <w:szCs w:val="18"/>
              </w:rPr>
              <w:t>Substantive Procedures -- Overview</w:t>
            </w:r>
            <w:r w:rsidR="00CC5F9D" w:rsidRPr="000A7FD1">
              <w:rPr>
                <w:rStyle w:val="StyleArial10pt"/>
                <w:sz w:val="18"/>
                <w:szCs w:val="18"/>
              </w:rPr>
              <w:tab/>
              <w:t>470</w:t>
            </w:r>
          </w:p>
          <w:p w14:paraId="25E8A26D" w14:textId="706A1AA4" w:rsidR="00CC5F9D" w:rsidRPr="000A7FD1" w:rsidRDefault="008C3469" w:rsidP="00CC7A2D">
            <w:pPr>
              <w:pStyle w:val="ListParagraph"/>
              <w:numPr>
                <w:ilvl w:val="0"/>
                <w:numId w:val="20"/>
              </w:numPr>
              <w:tabs>
                <w:tab w:val="center" w:pos="8681"/>
              </w:tabs>
              <w:autoSpaceDE w:val="0"/>
              <w:autoSpaceDN w:val="0"/>
              <w:spacing w:before="0" w:after="0"/>
              <w:ind w:left="720"/>
              <w:textAlignment w:val="auto"/>
              <w:rPr>
                <w:rStyle w:val="StyleArial10pt"/>
                <w:sz w:val="18"/>
                <w:szCs w:val="18"/>
              </w:rPr>
            </w:pPr>
            <w:r w:rsidRPr="000A7FD1">
              <w:rPr>
                <w:rStyle w:val="StyleArial10pt"/>
                <w:sz w:val="18"/>
                <w:szCs w:val="18"/>
              </w:rPr>
              <w:t xml:space="preserve">Perform </w:t>
            </w:r>
            <w:r w:rsidR="00CC5F9D" w:rsidRPr="000A7FD1">
              <w:rPr>
                <w:rStyle w:val="StyleArial10pt"/>
                <w:sz w:val="18"/>
                <w:szCs w:val="18"/>
              </w:rPr>
              <w:t>Substantive Analytical Procedures</w:t>
            </w:r>
            <w:r w:rsidR="00CC5F9D" w:rsidRPr="000A7FD1">
              <w:rPr>
                <w:rStyle w:val="StyleArial10pt"/>
                <w:sz w:val="18"/>
                <w:szCs w:val="18"/>
              </w:rPr>
              <w:tab/>
              <w:t>475</w:t>
            </w:r>
          </w:p>
          <w:p w14:paraId="68ABF414" w14:textId="54190C78" w:rsidR="00CC5F9D" w:rsidRPr="000A7FD1" w:rsidRDefault="008C3469" w:rsidP="00CC7A2D">
            <w:pPr>
              <w:pStyle w:val="ListParagraph"/>
              <w:numPr>
                <w:ilvl w:val="0"/>
                <w:numId w:val="20"/>
              </w:numPr>
              <w:tabs>
                <w:tab w:val="center" w:pos="8681"/>
              </w:tabs>
              <w:autoSpaceDE w:val="0"/>
              <w:autoSpaceDN w:val="0"/>
              <w:spacing w:before="0" w:after="0"/>
              <w:ind w:left="720"/>
              <w:textAlignment w:val="auto"/>
              <w:rPr>
                <w:rStyle w:val="StyleArial10pt"/>
                <w:sz w:val="18"/>
                <w:szCs w:val="18"/>
              </w:rPr>
            </w:pPr>
            <w:r w:rsidRPr="000A7FD1">
              <w:rPr>
                <w:rStyle w:val="StyleArial10pt"/>
                <w:sz w:val="18"/>
                <w:szCs w:val="18"/>
              </w:rPr>
              <w:t xml:space="preserve">Perform </w:t>
            </w:r>
            <w:r w:rsidR="00CC5F9D" w:rsidRPr="000A7FD1">
              <w:rPr>
                <w:rStyle w:val="StyleArial10pt"/>
                <w:sz w:val="18"/>
                <w:szCs w:val="18"/>
              </w:rPr>
              <w:t>Substantive Detail Tests</w:t>
            </w:r>
            <w:r w:rsidR="00CC5F9D" w:rsidRPr="000A7FD1">
              <w:rPr>
                <w:rStyle w:val="StyleArial10pt"/>
                <w:sz w:val="18"/>
                <w:szCs w:val="18"/>
              </w:rPr>
              <w:tab/>
              <w:t>480</w:t>
            </w:r>
          </w:p>
          <w:p w14:paraId="27BFA438" w14:textId="77777777" w:rsidR="00CC5F9D" w:rsidRPr="000A7FD1" w:rsidDel="00D1774B" w:rsidRDefault="00CC5F9D" w:rsidP="00CC7A2D">
            <w:pPr>
              <w:pStyle w:val="ListParagraph"/>
              <w:numPr>
                <w:ilvl w:val="0"/>
                <w:numId w:val="20"/>
              </w:numPr>
              <w:tabs>
                <w:tab w:val="center" w:pos="8681"/>
              </w:tabs>
              <w:autoSpaceDE w:val="0"/>
              <w:autoSpaceDN w:val="0"/>
              <w:spacing w:before="0" w:after="0"/>
              <w:ind w:left="720"/>
              <w:textAlignment w:val="auto"/>
              <w:rPr>
                <w:sz w:val="20"/>
                <w:szCs w:val="20"/>
              </w:rPr>
            </w:pPr>
            <w:r w:rsidRPr="000A7FD1">
              <w:rPr>
                <w:sz w:val="18"/>
                <w:szCs w:val="18"/>
              </w:rPr>
              <w:t>Documentation</w:t>
            </w:r>
            <w:r w:rsidRPr="000A7FD1">
              <w:rPr>
                <w:sz w:val="18"/>
                <w:szCs w:val="18"/>
              </w:rPr>
              <w:tab/>
              <w:t>490</w:t>
            </w:r>
          </w:p>
        </w:tc>
      </w:tr>
      <w:tr w:rsidR="00CC5F9D" w:rsidRPr="000A7FD1" w14:paraId="3E24D562" w14:textId="77777777" w:rsidTr="00353A9C">
        <w:tc>
          <w:tcPr>
            <w:tcW w:w="5000" w:type="pct"/>
            <w:shd w:val="pct25" w:color="auto" w:fill="auto"/>
          </w:tcPr>
          <w:p w14:paraId="2443A100" w14:textId="77777777" w:rsidR="00CC5F9D" w:rsidRPr="000A7FD1" w:rsidRDefault="00CC5F9D" w:rsidP="00454C15">
            <w:pPr>
              <w:tabs>
                <w:tab w:val="center" w:pos="4320"/>
                <w:tab w:val="center" w:pos="8681"/>
              </w:tabs>
              <w:spacing w:after="0"/>
              <w:rPr>
                <w:rStyle w:val="StyleArial10pt"/>
                <w:sz w:val="22"/>
              </w:rPr>
            </w:pPr>
            <w:r w:rsidRPr="000A7FD1">
              <w:tab/>
            </w:r>
            <w:r w:rsidRPr="000A7FD1">
              <w:rPr>
                <w:rStyle w:val="StyleArialBold"/>
              </w:rPr>
              <w:t>Reporting Phase</w:t>
            </w:r>
            <w:r w:rsidRPr="000A7FD1">
              <w:tab/>
            </w:r>
            <w:r w:rsidRPr="000A7FD1">
              <w:rPr>
                <w:rStyle w:val="StyleArialBold"/>
              </w:rPr>
              <w:t>FAM</w:t>
            </w:r>
          </w:p>
          <w:p w14:paraId="51844F0C" w14:textId="77777777" w:rsidR="00CC5F9D" w:rsidRPr="000A7FD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A7FD1">
              <w:rPr>
                <w:sz w:val="18"/>
                <w:szCs w:val="18"/>
              </w:rPr>
              <w:t>Overview of the Reporting Phase</w:t>
            </w:r>
            <w:r w:rsidRPr="000A7FD1">
              <w:rPr>
                <w:rStyle w:val="StyleArial10pt"/>
                <w:sz w:val="18"/>
                <w:szCs w:val="18"/>
              </w:rPr>
              <w:tab/>
              <w:t>510</w:t>
            </w:r>
          </w:p>
          <w:p w14:paraId="5BD9553A" w14:textId="77777777" w:rsidR="00CC5F9D" w:rsidRPr="000A7FD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A7FD1">
              <w:rPr>
                <w:sz w:val="18"/>
                <w:szCs w:val="18"/>
              </w:rPr>
              <w:t>Perform Overall Analytical Procedures</w:t>
            </w:r>
            <w:r w:rsidRPr="000A7FD1">
              <w:rPr>
                <w:sz w:val="18"/>
                <w:szCs w:val="18"/>
              </w:rPr>
              <w:tab/>
              <w:t>520</w:t>
            </w:r>
          </w:p>
          <w:p w14:paraId="3BA7720E" w14:textId="77777777" w:rsidR="00CC5F9D" w:rsidRPr="000A7FD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A7FD1">
              <w:rPr>
                <w:sz w:val="18"/>
                <w:szCs w:val="18"/>
              </w:rPr>
              <w:t>Reassess Materiality and Risks of Material Misstatement</w:t>
            </w:r>
            <w:r w:rsidRPr="000A7FD1">
              <w:rPr>
                <w:sz w:val="18"/>
                <w:szCs w:val="18"/>
              </w:rPr>
              <w:tab/>
              <w:t>530</w:t>
            </w:r>
          </w:p>
          <w:p w14:paraId="21CF50B7" w14:textId="77777777" w:rsidR="00CC5F9D" w:rsidRPr="000A7FD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A7FD1">
              <w:rPr>
                <w:sz w:val="18"/>
                <w:szCs w:val="18"/>
              </w:rPr>
              <w:t>Evaluate Effects of Misstatements on Financial Statements and Auditor’s Reports</w:t>
            </w:r>
            <w:r w:rsidRPr="000A7FD1">
              <w:rPr>
                <w:sz w:val="18"/>
                <w:szCs w:val="18"/>
              </w:rPr>
              <w:tab/>
              <w:t>540</w:t>
            </w:r>
          </w:p>
          <w:p w14:paraId="295836DA" w14:textId="77777777" w:rsidR="00CC5F9D" w:rsidRPr="000A7FD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A7FD1">
              <w:rPr>
                <w:sz w:val="18"/>
                <w:szCs w:val="18"/>
              </w:rPr>
              <w:t xml:space="preserve">Audit Exposure (Further Evaluation of Audit Risk) </w:t>
            </w:r>
            <w:r w:rsidRPr="000A7FD1">
              <w:rPr>
                <w:sz w:val="18"/>
                <w:szCs w:val="18"/>
              </w:rPr>
              <w:tab/>
              <w:t>545</w:t>
            </w:r>
          </w:p>
          <w:p w14:paraId="383D0FC7" w14:textId="77777777" w:rsidR="00CC5F9D" w:rsidRPr="000A7FD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A7FD1">
              <w:rPr>
                <w:sz w:val="18"/>
                <w:szCs w:val="18"/>
              </w:rPr>
              <w:t>Perform Other Reporting Phase Audit Procedures</w:t>
            </w:r>
            <w:r w:rsidRPr="000A7FD1">
              <w:rPr>
                <w:sz w:val="18"/>
                <w:szCs w:val="18"/>
              </w:rPr>
              <w:tab/>
              <w:t>550</w:t>
            </w:r>
          </w:p>
          <w:p w14:paraId="1993232E" w14:textId="77777777" w:rsidR="00CC5F9D" w:rsidRPr="000A7FD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A7FD1">
              <w:rPr>
                <w:sz w:val="18"/>
                <w:szCs w:val="18"/>
              </w:rPr>
              <w:t>Determine Whether Financial Statement Presentation is in Accordance with U.S. GAAP</w:t>
            </w:r>
            <w:r w:rsidRPr="000A7FD1">
              <w:rPr>
                <w:sz w:val="18"/>
                <w:szCs w:val="18"/>
              </w:rPr>
              <w:tab/>
              <w:t>560</w:t>
            </w:r>
          </w:p>
          <w:p w14:paraId="3CB9660A" w14:textId="77777777" w:rsidR="00CC5F9D" w:rsidRPr="000A7FD1" w:rsidRDefault="00CC5F9D" w:rsidP="00CC7A2D">
            <w:pPr>
              <w:pStyle w:val="ListParagraph"/>
              <w:numPr>
                <w:ilvl w:val="0"/>
                <w:numId w:val="20"/>
              </w:numPr>
              <w:tabs>
                <w:tab w:val="center" w:pos="8681"/>
              </w:tabs>
              <w:autoSpaceDE w:val="0"/>
              <w:autoSpaceDN w:val="0"/>
              <w:spacing w:before="0" w:after="0"/>
              <w:ind w:left="720"/>
              <w:textAlignment w:val="auto"/>
              <w:rPr>
                <w:rStyle w:val="StyleArial10pt"/>
                <w:sz w:val="18"/>
                <w:szCs w:val="18"/>
              </w:rPr>
            </w:pPr>
            <w:r w:rsidRPr="000A7FD1">
              <w:rPr>
                <w:rStyle w:val="StyleArial10pt"/>
                <w:sz w:val="18"/>
                <w:szCs w:val="18"/>
              </w:rPr>
              <w:t xml:space="preserve">Determine Compliance with GAO/CIGIE </w:t>
            </w:r>
            <w:r w:rsidRPr="000A7FD1">
              <w:rPr>
                <w:rStyle w:val="StyleArial10ptItalic"/>
                <w:sz w:val="18"/>
                <w:szCs w:val="18"/>
              </w:rPr>
              <w:t>Financial Audit Manual</w:t>
            </w:r>
            <w:r w:rsidRPr="000A7FD1">
              <w:rPr>
                <w:rStyle w:val="StyleArial10pt"/>
                <w:sz w:val="18"/>
                <w:szCs w:val="18"/>
              </w:rPr>
              <w:tab/>
              <w:t>570</w:t>
            </w:r>
          </w:p>
          <w:p w14:paraId="2F8C6EAB" w14:textId="77777777" w:rsidR="00CC5F9D" w:rsidRPr="000A7FD1" w:rsidRDefault="00CC5F9D" w:rsidP="00CC7A2D">
            <w:pPr>
              <w:pStyle w:val="ListParagraph"/>
              <w:numPr>
                <w:ilvl w:val="0"/>
                <w:numId w:val="20"/>
              </w:numPr>
              <w:tabs>
                <w:tab w:val="center" w:pos="8681"/>
              </w:tabs>
              <w:autoSpaceDE w:val="0"/>
              <w:autoSpaceDN w:val="0"/>
              <w:spacing w:before="0" w:after="0"/>
              <w:ind w:left="720"/>
              <w:textAlignment w:val="auto"/>
              <w:rPr>
                <w:sz w:val="18"/>
                <w:szCs w:val="18"/>
              </w:rPr>
            </w:pPr>
            <w:r w:rsidRPr="000A7FD1">
              <w:rPr>
                <w:sz w:val="18"/>
                <w:szCs w:val="18"/>
              </w:rPr>
              <w:t>Draft Reports</w:t>
            </w:r>
            <w:r w:rsidRPr="000A7FD1">
              <w:rPr>
                <w:sz w:val="18"/>
                <w:szCs w:val="18"/>
              </w:rPr>
              <w:tab/>
              <w:t>580</w:t>
            </w:r>
          </w:p>
          <w:p w14:paraId="397E5237" w14:textId="77777777" w:rsidR="00CC5F9D" w:rsidRPr="000A7FD1" w:rsidDel="00D1774B" w:rsidRDefault="00CC5F9D" w:rsidP="00CC7A2D">
            <w:pPr>
              <w:pStyle w:val="ListParagraph"/>
              <w:numPr>
                <w:ilvl w:val="0"/>
                <w:numId w:val="20"/>
              </w:numPr>
              <w:tabs>
                <w:tab w:val="center" w:pos="8681"/>
              </w:tabs>
              <w:autoSpaceDE w:val="0"/>
              <w:autoSpaceDN w:val="0"/>
              <w:spacing w:before="0"/>
              <w:ind w:left="720"/>
              <w:textAlignment w:val="auto"/>
              <w:rPr>
                <w:rStyle w:val="StyleArial10pt"/>
              </w:rPr>
            </w:pPr>
            <w:r w:rsidRPr="000A7FD1">
              <w:rPr>
                <w:rStyle w:val="StyleArial10pt"/>
                <w:sz w:val="18"/>
                <w:szCs w:val="18"/>
              </w:rPr>
              <w:t>Documentation</w:t>
            </w:r>
            <w:r w:rsidRPr="000A7FD1">
              <w:rPr>
                <w:rStyle w:val="StyleArial10pt"/>
                <w:sz w:val="18"/>
                <w:szCs w:val="18"/>
              </w:rPr>
              <w:tab/>
              <w:t xml:space="preserve">590 </w:t>
            </w:r>
          </w:p>
        </w:tc>
      </w:tr>
    </w:tbl>
    <w:p w14:paraId="261ADC6E" w14:textId="77777777" w:rsidR="00120816" w:rsidRPr="000A7FD1" w:rsidRDefault="00120816" w:rsidP="00933216">
      <w:pPr>
        <w:sectPr w:rsidR="00120816" w:rsidRPr="000A7FD1" w:rsidSect="00666BFE">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pgMar w:top="1080" w:right="1440" w:bottom="1080" w:left="1080" w:header="720" w:footer="720" w:gutter="360"/>
          <w:pgNumType w:start="1"/>
          <w:cols w:space="720"/>
          <w:noEndnote/>
          <w:docGrid w:linePitch="326"/>
        </w:sectPr>
      </w:pPr>
    </w:p>
    <w:p w14:paraId="6F873AE7" w14:textId="77777777" w:rsidR="00430AC9" w:rsidRPr="000A7FD1" w:rsidRDefault="00430AC9" w:rsidP="00713125">
      <w:pPr>
        <w:pStyle w:val="Heading2FAM"/>
      </w:pPr>
      <w:r w:rsidRPr="000A7FD1">
        <w:lastRenderedPageBreak/>
        <w:t xml:space="preserve">310 </w:t>
      </w:r>
      <w:r w:rsidR="00F911B9" w:rsidRPr="000A7FD1">
        <w:t>–</w:t>
      </w:r>
      <w:r w:rsidRPr="000A7FD1">
        <w:t xml:space="preserve"> Overview of the Internal Control Phase</w:t>
      </w:r>
    </w:p>
    <w:p w14:paraId="0F4129C5" w14:textId="416B7FB9" w:rsidR="00604C50" w:rsidRPr="000A7FD1" w:rsidRDefault="008C1987" w:rsidP="00604C50">
      <w:pPr>
        <w:pStyle w:val="FAMSubsection"/>
      </w:pPr>
      <w:r w:rsidRPr="000A7FD1">
        <w:t xml:space="preserve">In the internal control phase, the auditor continues the risk assessment procedures begun in the planning phase. The auditor expands the understanding of the entity’s internal control gained during the planning phase and separately assesses control risk and the risk of material misstatement (i.e., combined assessment of inherent risk and control risk). </w:t>
      </w:r>
      <w:r w:rsidR="00604C50" w:rsidRPr="000A7FD1">
        <w:t>The auditor perform</w:t>
      </w:r>
      <w:r w:rsidR="00B0166B" w:rsidRPr="000A7FD1">
        <w:t>s</w:t>
      </w:r>
      <w:r w:rsidR="00604C50" w:rsidRPr="000A7FD1">
        <w:t xml:space="preserve"> and document</w:t>
      </w:r>
      <w:r w:rsidR="00B0166B" w:rsidRPr="000A7FD1">
        <w:t>s</w:t>
      </w:r>
      <w:r w:rsidR="00604C50" w:rsidRPr="000A7FD1">
        <w:t xml:space="preserve"> the following procedures:</w:t>
      </w:r>
    </w:p>
    <w:p w14:paraId="51EC19FF" w14:textId="77777777" w:rsidR="00604C50" w:rsidRPr="000A7FD1" w:rsidRDefault="00604C50" w:rsidP="000D1813">
      <w:pPr>
        <w:pStyle w:val="FAM-Bullet-1"/>
        <w:numPr>
          <w:ilvl w:val="0"/>
          <w:numId w:val="52"/>
        </w:numPr>
        <w:ind w:left="1800"/>
      </w:pPr>
      <w:r w:rsidRPr="000A7FD1">
        <w:t>Understand the entity’s design of the information systems for financial reporting; compliance with applicable provisions of laws, regulations, contracts, and grant agreements; and relevant operations (see FAM 320).</w:t>
      </w:r>
    </w:p>
    <w:p w14:paraId="69AE24A6" w14:textId="540FA27D" w:rsidR="00604C50" w:rsidRPr="000A7FD1" w:rsidRDefault="00604C50" w:rsidP="000D1813">
      <w:pPr>
        <w:pStyle w:val="FAM-Bullet-1"/>
        <w:numPr>
          <w:ilvl w:val="0"/>
          <w:numId w:val="52"/>
        </w:numPr>
        <w:ind w:left="1800"/>
      </w:pPr>
      <w:r w:rsidRPr="000A7FD1">
        <w:t xml:space="preserve">Identify control objectives for </w:t>
      </w:r>
      <w:r w:rsidR="00D55052" w:rsidRPr="000A7FD1">
        <w:t xml:space="preserve">each identified risk of material misstatement at the </w:t>
      </w:r>
      <w:r w:rsidRPr="000A7FD1">
        <w:t>assertion</w:t>
      </w:r>
      <w:r w:rsidR="00D55052" w:rsidRPr="000A7FD1">
        <w:t xml:space="preserve"> level for which inherent risk is more than remote</w:t>
      </w:r>
      <w:r w:rsidRPr="000A7FD1">
        <w:t xml:space="preserve"> (see FAM 330).</w:t>
      </w:r>
    </w:p>
    <w:p w14:paraId="58C0EC6A" w14:textId="7FCB64E9" w:rsidR="00604C50" w:rsidRPr="000A7FD1" w:rsidRDefault="00604C50" w:rsidP="000D1813">
      <w:pPr>
        <w:pStyle w:val="FAM-Bullet-1"/>
        <w:numPr>
          <w:ilvl w:val="0"/>
          <w:numId w:val="52"/>
        </w:numPr>
        <w:ind w:left="1800"/>
      </w:pPr>
      <w:r w:rsidRPr="000A7FD1">
        <w:t xml:space="preserve">Identify and understand </w:t>
      </w:r>
      <w:r w:rsidR="00273F57" w:rsidRPr="000A7FD1">
        <w:t xml:space="preserve">the design of </w:t>
      </w:r>
      <w:r w:rsidRPr="000A7FD1">
        <w:t xml:space="preserve">control activities that </w:t>
      </w:r>
      <w:r w:rsidR="00034440" w:rsidRPr="000A7FD1">
        <w:t xml:space="preserve">are likely to </w:t>
      </w:r>
      <w:r w:rsidRPr="000A7FD1">
        <w:t>achieve the control objectives</w:t>
      </w:r>
      <w:r w:rsidR="004D0F37" w:rsidRPr="000A7FD1">
        <w:t>,</w:t>
      </w:r>
      <w:r w:rsidR="00C61499" w:rsidRPr="000A7FD1">
        <w:t xml:space="preserve"> if implemented and operating</w:t>
      </w:r>
      <w:r w:rsidR="00034440" w:rsidRPr="000A7FD1">
        <w:t xml:space="preserve"> effectively</w:t>
      </w:r>
      <w:r w:rsidR="000A243A" w:rsidRPr="000A7FD1">
        <w:t>,</w:t>
      </w:r>
      <w:r w:rsidRPr="000A7FD1">
        <w:t xml:space="preserve"> for </w:t>
      </w:r>
      <w:r w:rsidR="00D55052" w:rsidRPr="000A7FD1">
        <w:t xml:space="preserve">each identified risk of material misstatement at the </w:t>
      </w:r>
      <w:r w:rsidRPr="000A7FD1">
        <w:t xml:space="preserve">assertion </w:t>
      </w:r>
      <w:r w:rsidR="00D55052" w:rsidRPr="000A7FD1">
        <w:t xml:space="preserve">level for which inherent risk is more than remote </w:t>
      </w:r>
      <w:r w:rsidRPr="000A7FD1">
        <w:t>(see FAM 340).</w:t>
      </w:r>
    </w:p>
    <w:p w14:paraId="33D56B80" w14:textId="4D5F66D8" w:rsidR="000A243A" w:rsidRPr="000A7FD1" w:rsidRDefault="00BC4EED" w:rsidP="000D1813">
      <w:pPr>
        <w:pStyle w:val="FAM-Bullet-1"/>
        <w:numPr>
          <w:ilvl w:val="0"/>
          <w:numId w:val="52"/>
        </w:numPr>
        <w:ind w:left="1800"/>
      </w:pPr>
      <w:r w:rsidRPr="000A7FD1">
        <w:t xml:space="preserve">Identify control activities </w:t>
      </w:r>
      <w:r w:rsidR="000C39E8" w:rsidRPr="000A7FD1">
        <w:t>the auditor plans to</w:t>
      </w:r>
      <w:r w:rsidRPr="000A7FD1">
        <w:t xml:space="preserve"> test</w:t>
      </w:r>
      <w:r w:rsidR="00034440" w:rsidRPr="000A7FD1">
        <w:t xml:space="preserve"> (i.e., relevant control activities)</w:t>
      </w:r>
      <w:r w:rsidR="000A243A" w:rsidRPr="000A7FD1">
        <w:t>;</w:t>
      </w:r>
      <w:r w:rsidRPr="000A7FD1">
        <w:t xml:space="preserve"> d</w:t>
      </w:r>
      <w:r w:rsidR="00604C50" w:rsidRPr="000A7FD1">
        <w:t>etermine whether relevant control activities have been implemented</w:t>
      </w:r>
      <w:r w:rsidR="000A243A" w:rsidRPr="000A7FD1">
        <w:t>;</w:t>
      </w:r>
      <w:r w:rsidR="00604C50" w:rsidRPr="000A7FD1">
        <w:t xml:space="preserve"> and determine the nature, extent, and timing of tests of </w:t>
      </w:r>
      <w:r w:rsidR="000A243A" w:rsidRPr="000A7FD1">
        <w:t xml:space="preserve">relevant </w:t>
      </w:r>
      <w:r w:rsidR="00604C50" w:rsidRPr="000A7FD1">
        <w:t xml:space="preserve">control </w:t>
      </w:r>
      <w:r w:rsidR="000A243A" w:rsidRPr="000A7FD1">
        <w:t>activities (see FAM 350)</w:t>
      </w:r>
      <w:r w:rsidR="00DE5600" w:rsidRPr="000A7FD1">
        <w:t>.</w:t>
      </w:r>
      <w:r w:rsidR="000A243A" w:rsidRPr="000A7FD1">
        <w:t xml:space="preserve"> </w:t>
      </w:r>
    </w:p>
    <w:p w14:paraId="7C3A7EDD" w14:textId="5FF9573D" w:rsidR="00604C50" w:rsidRPr="000A7FD1" w:rsidRDefault="000A243A" w:rsidP="000D1813">
      <w:pPr>
        <w:pStyle w:val="FAM-Bullet-1"/>
        <w:numPr>
          <w:ilvl w:val="0"/>
          <w:numId w:val="52"/>
        </w:numPr>
        <w:ind w:left="1800"/>
      </w:pPr>
      <w:r w:rsidRPr="000A7FD1">
        <w:t xml:space="preserve">Determine the nature, extent, and timing of tests of </w:t>
      </w:r>
      <w:r w:rsidR="00604C50" w:rsidRPr="000A7FD1">
        <w:t xml:space="preserve">compliance with the Federal Financial Management Improvement Act of 1996 (FFMIA) </w:t>
      </w:r>
      <w:r w:rsidR="00DE5600" w:rsidRPr="000A7FD1">
        <w:t xml:space="preserve">for CFO Act agencies </w:t>
      </w:r>
      <w:r w:rsidR="00604C50" w:rsidRPr="000A7FD1">
        <w:t>(see FAM 350).</w:t>
      </w:r>
    </w:p>
    <w:p w14:paraId="227D3F8E" w14:textId="78EB8EF0" w:rsidR="00B0166B" w:rsidRPr="000A7FD1" w:rsidRDefault="00B0166B" w:rsidP="000D1813">
      <w:pPr>
        <w:pStyle w:val="FAM-Bullet-1"/>
        <w:numPr>
          <w:ilvl w:val="0"/>
          <w:numId w:val="52"/>
        </w:numPr>
        <w:ind w:left="1800"/>
      </w:pPr>
      <w:r w:rsidRPr="000A7FD1">
        <w:t>Test the operating effectiveness</w:t>
      </w:r>
      <w:r w:rsidR="00604C50" w:rsidRPr="000A7FD1">
        <w:t xml:space="preserve"> of </w:t>
      </w:r>
      <w:r w:rsidR="000C39E8" w:rsidRPr="000A7FD1">
        <w:t xml:space="preserve">each relevant </w:t>
      </w:r>
      <w:r w:rsidR="00604C50" w:rsidRPr="000A7FD1">
        <w:t>control</w:t>
      </w:r>
      <w:r w:rsidRPr="000A7FD1">
        <w:t xml:space="preserve"> activit</w:t>
      </w:r>
      <w:r w:rsidR="000C39E8" w:rsidRPr="000A7FD1">
        <w:t xml:space="preserve">y </w:t>
      </w:r>
      <w:r w:rsidRPr="000A7FD1">
        <w:t>that ha</w:t>
      </w:r>
      <w:r w:rsidR="000A243A" w:rsidRPr="000A7FD1">
        <w:t>s</w:t>
      </w:r>
      <w:r w:rsidRPr="000A7FD1">
        <w:t xml:space="preserve"> been implemented </w:t>
      </w:r>
      <w:r w:rsidR="00604C50" w:rsidRPr="000A7FD1">
        <w:t xml:space="preserve">and </w:t>
      </w:r>
      <w:r w:rsidRPr="000A7FD1">
        <w:t>test entity-level controls related to the other four components of internal control (see FAM 360). Sampling control tests, if necessary, are performed in the testing phase and</w:t>
      </w:r>
      <w:r w:rsidR="004D0F37" w:rsidRPr="000A7FD1">
        <w:t xml:space="preserve"> are</w:t>
      </w:r>
      <w:r w:rsidRPr="000A7FD1">
        <w:t xml:space="preserve"> discussed in FAM 450.</w:t>
      </w:r>
    </w:p>
    <w:p w14:paraId="6B21D4C0" w14:textId="3F0FB2D3" w:rsidR="00604C50" w:rsidRPr="000A7FD1" w:rsidRDefault="00B0166B" w:rsidP="000D1813">
      <w:pPr>
        <w:pStyle w:val="FAM-Bullet-1"/>
        <w:numPr>
          <w:ilvl w:val="0"/>
          <w:numId w:val="52"/>
        </w:numPr>
        <w:ind w:left="1800"/>
      </w:pPr>
      <w:r w:rsidRPr="000A7FD1">
        <w:t xml:space="preserve">Test </w:t>
      </w:r>
      <w:r w:rsidR="00604C50" w:rsidRPr="000A7FD1">
        <w:t xml:space="preserve">compliance with FFMIA (see FAM 360).  </w:t>
      </w:r>
    </w:p>
    <w:p w14:paraId="0BEBBC52" w14:textId="699F68D8" w:rsidR="00604C50" w:rsidRPr="000A7FD1" w:rsidRDefault="00B0166B" w:rsidP="000D1813">
      <w:pPr>
        <w:pStyle w:val="FAM-Bullet-1"/>
        <w:numPr>
          <w:ilvl w:val="0"/>
          <w:numId w:val="52"/>
        </w:numPr>
        <w:ind w:left="1800"/>
      </w:pPr>
      <w:r w:rsidRPr="000A7FD1">
        <w:t>A</w:t>
      </w:r>
      <w:r w:rsidR="00604C50" w:rsidRPr="000A7FD1">
        <w:t>ssess</w:t>
      </w:r>
      <w:r w:rsidRPr="000A7FD1">
        <w:t>, on a preliminary basis,</w:t>
      </w:r>
      <w:r w:rsidR="00604C50" w:rsidRPr="000A7FD1">
        <w:t xml:space="preserve"> (1) the effectiveness of financial reporting, compliance, and relevant operations controls; (2) control risk; and (3) the risk of material misstatement (see FAM 370). </w:t>
      </w:r>
    </w:p>
    <w:p w14:paraId="6DA43EEC" w14:textId="77777777" w:rsidR="00604C50" w:rsidRPr="000A7FD1" w:rsidRDefault="00604C50" w:rsidP="000D1813">
      <w:pPr>
        <w:pStyle w:val="FAM-Bullet-1"/>
        <w:numPr>
          <w:ilvl w:val="0"/>
          <w:numId w:val="52"/>
        </w:numPr>
        <w:ind w:left="1800"/>
      </w:pPr>
      <w:r w:rsidRPr="000A7FD1">
        <w:t>Consider partial-year controls and planned changes in controls (see FAM 380).</w:t>
      </w:r>
    </w:p>
    <w:p w14:paraId="510ED939" w14:textId="4230462D" w:rsidR="00604C50" w:rsidRPr="000A7FD1" w:rsidRDefault="00604C50" w:rsidP="00604C50">
      <w:pPr>
        <w:pStyle w:val="FAM-Bullet-1"/>
        <w:ind w:left="1440"/>
      </w:pPr>
      <w:r w:rsidRPr="000A7FD1">
        <w:t>See FAM 390 for detailed documentation requirements.</w:t>
      </w:r>
    </w:p>
    <w:p w14:paraId="3AE0113F" w14:textId="51010330" w:rsidR="005815E3" w:rsidRPr="000A7FD1" w:rsidRDefault="005815E3" w:rsidP="0032697C">
      <w:pPr>
        <w:pStyle w:val="FAM-Subsection"/>
      </w:pPr>
      <w:r w:rsidRPr="000A7FD1">
        <w:t>The auditor uses the results of internal control work to</w:t>
      </w:r>
    </w:p>
    <w:p w14:paraId="6D41BE83" w14:textId="77777777" w:rsidR="005815E3" w:rsidRPr="000A7FD1" w:rsidRDefault="005815E3" w:rsidP="000D1813">
      <w:pPr>
        <w:pStyle w:val="FAM-Bullet-1"/>
        <w:numPr>
          <w:ilvl w:val="0"/>
          <w:numId w:val="42"/>
        </w:numPr>
        <w:ind w:left="1890"/>
      </w:pPr>
      <w:r w:rsidRPr="000A7FD1">
        <w:t>determine the nature, extent, and timing of further audit procedures (sampling control, compliance, and substantive testing discussed in FAM 400);</w:t>
      </w:r>
    </w:p>
    <w:p w14:paraId="0E36A33A" w14:textId="77777777" w:rsidR="005815E3" w:rsidRPr="000A7FD1" w:rsidRDefault="005815E3" w:rsidP="000D1813">
      <w:pPr>
        <w:pStyle w:val="FAM-Bullet-1"/>
        <w:numPr>
          <w:ilvl w:val="0"/>
          <w:numId w:val="42"/>
        </w:numPr>
        <w:ind w:left="1890"/>
      </w:pPr>
      <w:r w:rsidRPr="000A7FD1">
        <w:t>update the evaluation of internal control as further evidence is obtained throughout the audit;</w:t>
      </w:r>
    </w:p>
    <w:p w14:paraId="61209BD8" w14:textId="77777777" w:rsidR="005815E3" w:rsidRPr="000A7FD1" w:rsidRDefault="005815E3" w:rsidP="000D1813">
      <w:pPr>
        <w:pStyle w:val="FAM-Bullet-1"/>
        <w:numPr>
          <w:ilvl w:val="0"/>
          <w:numId w:val="42"/>
        </w:numPr>
        <w:ind w:left="1890"/>
      </w:pPr>
      <w:r w:rsidRPr="000A7FD1">
        <w:lastRenderedPageBreak/>
        <w:t>determine any effects on the risk of material misstatement and the related sufficiency of other audit procedures (discussed in FAM 400 and 500); and</w:t>
      </w:r>
    </w:p>
    <w:p w14:paraId="3B079B04" w14:textId="00860521" w:rsidR="005815E3" w:rsidRPr="000A7FD1" w:rsidRDefault="005815E3" w:rsidP="000D1813">
      <w:pPr>
        <w:pStyle w:val="FAM-Bullet-1"/>
        <w:numPr>
          <w:ilvl w:val="0"/>
          <w:numId w:val="42"/>
        </w:numPr>
        <w:ind w:left="1890"/>
      </w:pPr>
      <w:r w:rsidRPr="000A7FD1">
        <w:t>obtain audit evidence for forming an opinion or reporting on internal control over financial reporting (discussed in FAM 500).</w:t>
      </w:r>
    </w:p>
    <w:p w14:paraId="56ED5974" w14:textId="4A8C7DB3" w:rsidR="0032697C" w:rsidRPr="000A7FD1" w:rsidRDefault="0032697C" w:rsidP="0032697C">
      <w:pPr>
        <w:pStyle w:val="FAM-Subsection"/>
      </w:pPr>
      <w:r w:rsidRPr="000A7FD1">
        <w:t xml:space="preserve">The auditor may also use the results of internal control work in determining whether a population from which the auditor plans to select an audit sample is complete and valid. This may be appropriate in circumstances when the population is not reconcilable to an appropriate data source. Such internal control work may include testing the relevant general controls and application controls over the source of the population. See FAM 360 for guidance on testing IS controls and FAM 480 for guidance on performing substantive detail tests. </w:t>
      </w:r>
    </w:p>
    <w:p w14:paraId="3D545A17" w14:textId="5B9F1A0C" w:rsidR="00430AC9" w:rsidRPr="000A7FD1" w:rsidRDefault="00162E31" w:rsidP="004A102E">
      <w:pPr>
        <w:pStyle w:val="FAMSubsection"/>
      </w:pPr>
      <w:r w:rsidRPr="000A7FD1">
        <w:t xml:space="preserve">According to </w:t>
      </w:r>
      <w:r w:rsidR="002F1E61" w:rsidRPr="000A7FD1">
        <w:t>Office of Management and Budget (</w:t>
      </w:r>
      <w:r w:rsidR="00430AC9" w:rsidRPr="000A7FD1">
        <w:t>OMB</w:t>
      </w:r>
      <w:r w:rsidR="002F1E61" w:rsidRPr="000A7FD1">
        <w:t>)</w:t>
      </w:r>
      <w:r w:rsidR="00430AC9" w:rsidRPr="000A7FD1">
        <w:t xml:space="preserve"> audit guidance</w:t>
      </w:r>
      <w:r w:rsidRPr="000A7FD1">
        <w:t>, for those controls that have been suitably designed and implemented,</w:t>
      </w:r>
      <w:r w:rsidR="00430AC9" w:rsidRPr="000A7FD1">
        <w:t xml:space="preserve"> the auditor </w:t>
      </w:r>
      <w:r w:rsidRPr="000A7FD1">
        <w:t xml:space="preserve">should </w:t>
      </w:r>
      <w:r w:rsidR="00430AC9" w:rsidRPr="000A7FD1">
        <w:t xml:space="preserve">perform sufficient tests of </w:t>
      </w:r>
      <w:r w:rsidRPr="000A7FD1">
        <w:t>such</w:t>
      </w:r>
      <w:r w:rsidR="00430AC9" w:rsidRPr="000A7FD1">
        <w:t xml:space="preserve"> controls to </w:t>
      </w:r>
      <w:r w:rsidR="009C23E0" w:rsidRPr="000A7FD1">
        <w:t xml:space="preserve">conclude whether the controls are operating effectively (i.e., sufficient tests of controls to </w:t>
      </w:r>
      <w:r w:rsidR="00430AC9" w:rsidRPr="000A7FD1">
        <w:t xml:space="preserve">support a low level of </w:t>
      </w:r>
      <w:r w:rsidR="009C23E0" w:rsidRPr="000A7FD1">
        <w:t>assessed</w:t>
      </w:r>
      <w:r w:rsidR="003F6D4A" w:rsidRPr="000A7FD1">
        <w:t xml:space="preserve"> </w:t>
      </w:r>
      <w:r w:rsidR="00430AC9" w:rsidRPr="000A7FD1">
        <w:t>control risk</w:t>
      </w:r>
      <w:r w:rsidR="009C2383" w:rsidRPr="000A7FD1">
        <w:t>)</w:t>
      </w:r>
      <w:r w:rsidR="00430AC9" w:rsidRPr="000A7FD1">
        <w:t xml:space="preserve">. Thus, the auditor should not elect to forgo control tests because it is more efficient to extend substantive and compliance audit procedures. </w:t>
      </w:r>
      <w:r w:rsidR="008B38A6" w:rsidRPr="000A7FD1">
        <w:t xml:space="preserve">If the auditor determined in a prior year that a control was not suitably designed or implemented, and if management indicates that the control has not improved, the auditor need not test it in the current year. </w:t>
      </w:r>
    </w:p>
    <w:p w14:paraId="1133BC87" w14:textId="77777777" w:rsidR="00EA3301" w:rsidRPr="000A7FD1" w:rsidRDefault="006820BA" w:rsidP="004A102E">
      <w:pPr>
        <w:pStyle w:val="FAMSubsection"/>
      </w:pPr>
      <w:r w:rsidRPr="000A7FD1">
        <w:t xml:space="preserve">Management, with oversight by </w:t>
      </w:r>
      <w:r w:rsidR="00226EB1" w:rsidRPr="000A7FD1">
        <w:t xml:space="preserve">those charged with governance or other </w:t>
      </w:r>
      <w:r w:rsidRPr="000A7FD1">
        <w:t xml:space="preserve">oversight </w:t>
      </w:r>
      <w:r w:rsidR="00226EB1" w:rsidRPr="000A7FD1">
        <w:t>bodies</w:t>
      </w:r>
      <w:r w:rsidRPr="000A7FD1">
        <w:t>, sets objectives to meet the entity’s mission, strategic plan, and goals and requirements of applicable laws and regulation</w:t>
      </w:r>
      <w:r w:rsidR="002F1E61" w:rsidRPr="000A7FD1">
        <w:t>s</w:t>
      </w:r>
      <w:r w:rsidRPr="000A7FD1">
        <w:t xml:space="preserve">. Management groups objectives into one or more of the three categories of objectives: operations, reporting, and compliance. </w:t>
      </w:r>
    </w:p>
    <w:p w14:paraId="6810E7DD" w14:textId="01B71F2C" w:rsidR="00430AC9" w:rsidRPr="000A7FD1" w:rsidRDefault="006820BA" w:rsidP="00EA3301">
      <w:pPr>
        <w:pStyle w:val="FAMSubsection"/>
        <w:numPr>
          <w:ilvl w:val="0"/>
          <w:numId w:val="0"/>
        </w:numPr>
        <w:ind w:left="1440"/>
      </w:pPr>
      <w:r w:rsidRPr="000A7FD1">
        <w:t>Operations objectives relate to program operations that achieve an entity’s mission. Reporting objectives relate to the preparation of reports for use by the entity, its stakeholders, or other external parties. Reporting objectives may be grouped further into the following subcategories: external financial reporting objectives, external nonfinancial reporting objectives, internal financial reporting objectives</w:t>
      </w:r>
      <w:r w:rsidR="00A30FC3" w:rsidRPr="000A7FD1">
        <w:t>,</w:t>
      </w:r>
      <w:r w:rsidRPr="000A7FD1">
        <w:t xml:space="preserve"> and </w:t>
      </w:r>
      <w:r w:rsidR="00A30FC3" w:rsidRPr="000A7FD1">
        <w:t xml:space="preserve">internal </w:t>
      </w:r>
      <w:r w:rsidRPr="000A7FD1">
        <w:t>nonfinancial reporting objectives. Compliance objectives relate to compliance with applicable laws</w:t>
      </w:r>
      <w:r w:rsidR="006E2BCF" w:rsidRPr="000A7FD1">
        <w:t>,</w:t>
      </w:r>
      <w:r w:rsidRPr="000A7FD1">
        <w:t xml:space="preserve"> regulations</w:t>
      </w:r>
      <w:r w:rsidR="006E2BCF" w:rsidRPr="000A7FD1">
        <w:t>, contracts, and grant agreements</w:t>
      </w:r>
      <w:r w:rsidRPr="000A7FD1">
        <w:t xml:space="preserve">. </w:t>
      </w:r>
      <w:r w:rsidR="00430AC9" w:rsidRPr="000A7FD1">
        <w:t xml:space="preserve">Entity management is responsible for establishing and maintaining internal control over financial reporting to provide reasonable assurance that the entity’s objectives will be met. In a financial statement audit, the auditor evaluates those internal controls designed to provide reasonable assurance that the following objectives are met. </w:t>
      </w:r>
    </w:p>
    <w:p w14:paraId="6B9BFC5F" w14:textId="77777777" w:rsidR="00430AC9" w:rsidRPr="000A7FD1" w:rsidRDefault="00430AC9" w:rsidP="000D1813">
      <w:pPr>
        <w:pStyle w:val="FAM-Bullet-1"/>
        <w:numPr>
          <w:ilvl w:val="0"/>
          <w:numId w:val="43"/>
        </w:numPr>
        <w:ind w:left="1800"/>
      </w:pPr>
      <w:r w:rsidRPr="000A7FD1">
        <w:rPr>
          <w:b/>
        </w:rPr>
        <w:t>Reliability of financial reporting:</w:t>
      </w:r>
      <w:r w:rsidRPr="000A7FD1">
        <w:t xml:space="preserve"> Transactions are properly recorded, processed, and summarized to permit the preparation of the financial statements in accordance with </w:t>
      </w:r>
      <w:r w:rsidR="002F1E61" w:rsidRPr="000A7FD1">
        <w:t>U.S. generally accepted accounting principles (</w:t>
      </w:r>
      <w:r w:rsidRPr="000A7FD1">
        <w:t>U.S. GAAP</w:t>
      </w:r>
      <w:r w:rsidR="002F1E61" w:rsidRPr="000A7FD1">
        <w:t>)</w:t>
      </w:r>
      <w:r w:rsidRPr="000A7FD1">
        <w:t>, and assets are safeguarded against loss from unauthorized acquisition, use, or disposition.</w:t>
      </w:r>
    </w:p>
    <w:p w14:paraId="5A2DC8B6" w14:textId="1C722302" w:rsidR="00430AC9" w:rsidRPr="000A7FD1" w:rsidRDefault="003C65FF" w:rsidP="000D1813">
      <w:pPr>
        <w:pStyle w:val="FAM-Bullet-1"/>
        <w:numPr>
          <w:ilvl w:val="0"/>
          <w:numId w:val="43"/>
        </w:numPr>
        <w:ind w:left="1800"/>
      </w:pPr>
      <w:r w:rsidRPr="000A7FD1">
        <w:rPr>
          <w:b/>
        </w:rPr>
        <w:t xml:space="preserve">Compliance with </w:t>
      </w:r>
      <w:r w:rsidR="00C82410" w:rsidRPr="000A7FD1">
        <w:rPr>
          <w:b/>
        </w:rPr>
        <w:t xml:space="preserve">significant </w:t>
      </w:r>
      <w:r w:rsidR="006E2BCF" w:rsidRPr="000A7FD1">
        <w:rPr>
          <w:b/>
        </w:rPr>
        <w:t xml:space="preserve">provisions of </w:t>
      </w:r>
      <w:r w:rsidRPr="000A7FD1">
        <w:rPr>
          <w:b/>
        </w:rPr>
        <w:t>applicable laws, regulations, contracts, and grant agreements</w:t>
      </w:r>
      <w:r w:rsidR="002F1E61" w:rsidRPr="000A7FD1">
        <w:rPr>
          <w:b/>
        </w:rPr>
        <w:t>:</w:t>
      </w:r>
      <w:r w:rsidR="002F1E61" w:rsidRPr="000A7FD1">
        <w:t xml:space="preserve"> T</w:t>
      </w:r>
      <w:r w:rsidRPr="000A7FD1">
        <w:t xml:space="preserve">ransactions are executed in accordance with </w:t>
      </w:r>
      <w:r w:rsidR="00C82410" w:rsidRPr="000A7FD1">
        <w:t xml:space="preserve">significant </w:t>
      </w:r>
      <w:r w:rsidR="00B456CE" w:rsidRPr="000A7FD1">
        <w:t xml:space="preserve">provisions of applicable </w:t>
      </w:r>
      <w:r w:rsidRPr="000A7FD1">
        <w:t>laws</w:t>
      </w:r>
      <w:r w:rsidR="00B456CE" w:rsidRPr="000A7FD1">
        <w:t>, including those</w:t>
      </w:r>
      <w:r w:rsidRPr="000A7FD1">
        <w:t xml:space="preserve"> governing the use of budget authority</w:t>
      </w:r>
      <w:r w:rsidR="0008459B" w:rsidRPr="000A7FD1">
        <w:t>, regulations,</w:t>
      </w:r>
      <w:r w:rsidRPr="000A7FD1">
        <w:t xml:space="preserve"> contracts</w:t>
      </w:r>
      <w:r w:rsidR="0008459B" w:rsidRPr="000A7FD1">
        <w:t>,</w:t>
      </w:r>
      <w:r w:rsidRPr="000A7FD1">
        <w:t xml:space="preserve"> and grant agreements</w:t>
      </w:r>
      <w:r w:rsidR="00B456CE" w:rsidRPr="000A7FD1">
        <w:t xml:space="preserve">, noncompliance with which could have a </w:t>
      </w:r>
      <w:r w:rsidRPr="000A7FD1">
        <w:t>material</w:t>
      </w:r>
      <w:r w:rsidR="00B456CE" w:rsidRPr="000A7FD1">
        <w:t xml:space="preserve"> effect</w:t>
      </w:r>
      <w:r w:rsidRPr="000A7FD1">
        <w:t xml:space="preserve"> </w:t>
      </w:r>
      <w:r w:rsidR="00B456CE" w:rsidRPr="000A7FD1">
        <w:t>on</w:t>
      </w:r>
      <w:r w:rsidRPr="000A7FD1">
        <w:t xml:space="preserve"> the financial statements.</w:t>
      </w:r>
    </w:p>
    <w:p w14:paraId="2979E63B" w14:textId="7815ABBF" w:rsidR="00430AC9" w:rsidRPr="000A7FD1" w:rsidRDefault="00430AC9" w:rsidP="004A102E">
      <w:pPr>
        <w:pStyle w:val="FAMSubsection"/>
      </w:pPr>
      <w:r w:rsidRPr="000A7FD1">
        <w:lastRenderedPageBreak/>
        <w:t>The auditor should determine whether such internal control provides reasonable assurance that misstatements, losses, or noncompliance, material in relation to the financial statements, would be prevented, or detected and corrected, during the period under audit. If the auditor intends to opine on internal control, the auditor should form a separate conclusion on internal control over financial reporting as of the end of the period. Additionally, the auditor may test certain operations controls</w:t>
      </w:r>
      <w:r w:rsidR="00F911B9" w:rsidRPr="000A7FD1">
        <w:t>,</w:t>
      </w:r>
      <w:r w:rsidRPr="000A7FD1">
        <w:t xml:space="preserve"> as discussed in FAM 275.</w:t>
      </w:r>
    </w:p>
    <w:p w14:paraId="44821F6E" w14:textId="512F7EE3" w:rsidR="00430AC9" w:rsidRPr="000A7FD1" w:rsidRDefault="00430AC9" w:rsidP="004A102E">
      <w:pPr>
        <w:pStyle w:val="FAMSubsection"/>
      </w:pPr>
      <w:r w:rsidRPr="000A7FD1">
        <w:t xml:space="preserve">Internal control over safeguarding assets </w:t>
      </w:r>
      <w:r w:rsidR="005902E6" w:rsidRPr="000A7FD1">
        <w:t xml:space="preserve">is </w:t>
      </w:r>
      <w:r w:rsidRPr="000A7FD1">
        <w:t xml:space="preserve">a process, implemented by management and other personnel, designed to provide reasonable assurance regarding the prevention, or </w:t>
      </w:r>
      <w:r w:rsidR="009926DB" w:rsidRPr="000A7FD1">
        <w:t xml:space="preserve">prompt </w:t>
      </w:r>
      <w:r w:rsidRPr="000A7FD1">
        <w:t>detection and correction, of unauthorized acquisition, use, or disposition of entity assets that could have a material effect on the financial statements</w:t>
      </w:r>
      <w:r w:rsidR="0052050C" w:rsidRPr="000A7FD1">
        <w:t xml:space="preserve"> </w:t>
      </w:r>
      <w:r w:rsidR="0052050C" w:rsidRPr="000A7FD1">
        <w:rPr>
          <w:i/>
        </w:rPr>
        <w:t>(</w:t>
      </w:r>
      <w:r w:rsidR="0052050C" w:rsidRPr="000A7FD1">
        <w:t>AU-C 940.29</w:t>
      </w:r>
      <w:r w:rsidR="00EE075B" w:rsidRPr="000A7FD1">
        <w:t>d</w:t>
      </w:r>
      <w:r w:rsidR="0052050C" w:rsidRPr="000A7FD1">
        <w:t>)</w:t>
      </w:r>
      <w:r w:rsidRPr="000A7FD1">
        <w:t>. Safeguarding controls consist of (1)</w:t>
      </w:r>
      <w:r w:rsidR="00024876" w:rsidRPr="000A7FD1">
        <w:t> </w:t>
      </w:r>
      <w:r w:rsidRPr="000A7FD1">
        <w:t xml:space="preserve">controls that prevent, or detect and correct, unauthorized access (direct or indirect) to assets and (2) segregation of duties. </w:t>
      </w:r>
    </w:p>
    <w:p w14:paraId="4EFC8910" w14:textId="77777777" w:rsidR="00430AC9" w:rsidRPr="000A7FD1" w:rsidRDefault="00430AC9" w:rsidP="004A102E">
      <w:pPr>
        <w:pStyle w:val="FAM-Continuation1"/>
      </w:pPr>
      <w:r w:rsidRPr="000A7FD1">
        <w:t xml:space="preserve">The auditor should understand the design of certain safeguarding controls as part of financial reporting controls. These controls relate to protecting assets from loss arising from </w:t>
      </w:r>
      <w:r w:rsidR="00FA63EC" w:rsidRPr="000A7FD1">
        <w:t xml:space="preserve">handling the related assets and resulting in </w:t>
      </w:r>
      <w:r w:rsidRPr="000A7FD1">
        <w:t>misstatements in processing transactions. FAM 395 C includes a list of typical control activities. The auditor need not evaluate safeguarding controls related to the loss of assets arising from management’s business decisions. Such a loss may occur from incurring expenditures for equipment or material that might prove to be unnecessary, which is part of operations controls.</w:t>
      </w:r>
      <w:r w:rsidR="00713125" w:rsidRPr="000A7FD1">
        <w:t xml:space="preserve"> </w:t>
      </w:r>
    </w:p>
    <w:p w14:paraId="49231D4D" w14:textId="61B916DE" w:rsidR="00430AC9" w:rsidRPr="000A7FD1" w:rsidRDefault="00430AC9" w:rsidP="004A102E">
      <w:pPr>
        <w:pStyle w:val="FAMSubsection"/>
      </w:pPr>
      <w:r w:rsidRPr="000A7FD1">
        <w:t>Just as safeguarding controls are</w:t>
      </w:r>
      <w:r w:rsidR="00926D95" w:rsidRPr="000A7FD1">
        <w:t xml:space="preserve"> </w:t>
      </w:r>
      <w:r w:rsidR="009926DB" w:rsidRPr="000A7FD1">
        <w:t>a subset of operations, reporting, and compliance controls</w:t>
      </w:r>
      <w:r w:rsidRPr="000A7FD1">
        <w:t xml:space="preserve">, budget controls are </w:t>
      </w:r>
      <w:r w:rsidR="009926DB" w:rsidRPr="000A7FD1">
        <w:t xml:space="preserve">a subset of </w:t>
      </w:r>
      <w:r w:rsidRPr="000A7FD1">
        <w:t>financial reporting and compliance controls. Budget controls that provide reasonable assurance that budgetary transactions, such as obligations and outlays, are properly recorded, processed, and summarized to permit the preparation of the financial statements, primarily the statement of budgetary resources</w:t>
      </w:r>
      <w:r w:rsidR="007B6AC7" w:rsidRPr="000A7FD1">
        <w:t>,</w:t>
      </w:r>
      <w:r w:rsidRPr="000A7FD1">
        <w:t xml:space="preserve"> in accordance with U.S. GAAP, are financial reporting controls. Budget controls are generally also compliance controls in that they provide reasonable assurance that transactions are executed in accordance with laws governing the use of budget authority. Some budget controls may be compliance controls only</w:t>
      </w:r>
      <w:r w:rsidR="00CF25B7" w:rsidRPr="000A7FD1">
        <w:t xml:space="preserve">, </w:t>
      </w:r>
      <w:r w:rsidRPr="000A7FD1">
        <w:t xml:space="preserve">for example, controls over allotments to prevent </w:t>
      </w:r>
      <w:proofErr w:type="spellStart"/>
      <w:r w:rsidRPr="000A7FD1">
        <w:t>Antideficiency</w:t>
      </w:r>
      <w:proofErr w:type="spellEnd"/>
      <w:r w:rsidRPr="000A7FD1">
        <w:t xml:space="preserve"> Act violations.</w:t>
      </w:r>
    </w:p>
    <w:p w14:paraId="632801CA" w14:textId="054C4AF4" w:rsidR="00430AC9" w:rsidRPr="000A7FD1" w:rsidRDefault="00430AC9" w:rsidP="004A102E">
      <w:pPr>
        <w:pStyle w:val="FAMSubsection"/>
      </w:pPr>
      <w:r w:rsidRPr="000A7FD1">
        <w:t xml:space="preserve">If the auditor’s understanding is that </w:t>
      </w:r>
      <w:r w:rsidR="00FA63EC" w:rsidRPr="000A7FD1">
        <w:t xml:space="preserve">the </w:t>
      </w:r>
      <w:r w:rsidR="00273F57" w:rsidRPr="000A7FD1">
        <w:t xml:space="preserve">relevant </w:t>
      </w:r>
      <w:r w:rsidRPr="000A7FD1">
        <w:t xml:space="preserve">control </w:t>
      </w:r>
      <w:r w:rsidR="00FA63EC" w:rsidRPr="000A7FD1">
        <w:t xml:space="preserve">has </w:t>
      </w:r>
      <w:r w:rsidRPr="000A7FD1">
        <w:t xml:space="preserve">been </w:t>
      </w:r>
      <w:r w:rsidR="00241AB4" w:rsidRPr="000A7FD1">
        <w:t>implemented</w:t>
      </w:r>
      <w:r w:rsidRPr="000A7FD1">
        <w:t>, the auditor should test the following types of controls:</w:t>
      </w:r>
    </w:p>
    <w:p w14:paraId="10D99507" w14:textId="7BF65A97" w:rsidR="00430AC9" w:rsidRPr="000A7FD1" w:rsidRDefault="00430AC9" w:rsidP="000D1813">
      <w:pPr>
        <w:pStyle w:val="FAM-Bullet-1"/>
        <w:numPr>
          <w:ilvl w:val="0"/>
          <w:numId w:val="44"/>
        </w:numPr>
        <w:ind w:left="1800"/>
      </w:pPr>
      <w:r w:rsidRPr="000A7FD1">
        <w:rPr>
          <w:b/>
        </w:rPr>
        <w:t>F</w:t>
      </w:r>
      <w:r w:rsidRPr="000A7FD1">
        <w:rPr>
          <w:b/>
          <w:bCs/>
        </w:rPr>
        <w:t>inancial reporting controls</w:t>
      </w:r>
      <w:r w:rsidRPr="000A7FD1">
        <w:t xml:space="preserve"> (including certain </w:t>
      </w:r>
      <w:r w:rsidRPr="000A7FD1">
        <w:rPr>
          <w:b/>
          <w:bCs/>
        </w:rPr>
        <w:t>safeguarding</w:t>
      </w:r>
      <w:r w:rsidRPr="000A7FD1">
        <w:rPr>
          <w:bCs/>
        </w:rPr>
        <w:t xml:space="preserve"> </w:t>
      </w:r>
      <w:r w:rsidRPr="000A7FD1">
        <w:t xml:space="preserve">and </w:t>
      </w:r>
      <w:r w:rsidRPr="000A7FD1">
        <w:rPr>
          <w:b/>
          <w:bCs/>
        </w:rPr>
        <w:t>budget controls</w:t>
      </w:r>
      <w:r w:rsidRPr="000A7FD1">
        <w:t>) for each</w:t>
      </w:r>
      <w:r w:rsidR="00D55052" w:rsidRPr="000A7FD1">
        <w:t xml:space="preserve"> identified risk of material misstatement at the assertion level for which inherent risk is more than remote</w:t>
      </w:r>
      <w:r w:rsidR="00C1798D" w:rsidRPr="000A7FD1">
        <w:t>,</w:t>
      </w:r>
      <w:r w:rsidRPr="000A7FD1">
        <w:t xml:space="preserve"> </w:t>
      </w:r>
      <w:r w:rsidR="00C1798D" w:rsidRPr="000A7FD1">
        <w:t>for</w:t>
      </w:r>
      <w:r w:rsidRPr="000A7FD1">
        <w:t xml:space="preserve"> each </w:t>
      </w:r>
      <w:r w:rsidR="00D47B9F" w:rsidRPr="000A7FD1">
        <w:t>material line item, account, note disclosure, and class of transactions</w:t>
      </w:r>
      <w:r w:rsidR="003A68A8" w:rsidRPr="000A7FD1">
        <w:t xml:space="preserve"> </w:t>
      </w:r>
      <w:r w:rsidRPr="000A7FD1">
        <w:t>(identified in FAM 2</w:t>
      </w:r>
      <w:r w:rsidR="00A30FC3" w:rsidRPr="000A7FD1">
        <w:t>35</w:t>
      </w:r>
      <w:r w:rsidRPr="000A7FD1">
        <w:t>).</w:t>
      </w:r>
      <w:r w:rsidR="006D52F0" w:rsidRPr="000A7FD1">
        <w:t xml:space="preserve"> </w:t>
      </w:r>
      <w:r w:rsidR="00203B8B" w:rsidRPr="000A7FD1">
        <w:t xml:space="preserve">In rare circumstances in which the auditor assessed all identified risks of material misstatement at remote for a material line item, account, note disclosure, or class of transactions, </w:t>
      </w:r>
      <w:r w:rsidR="006D52F0" w:rsidRPr="000A7FD1">
        <w:t>the auditor should perform control tests, as appropriate, if the auditor is providing an opinion on internal control.</w:t>
      </w:r>
    </w:p>
    <w:p w14:paraId="0636DD93" w14:textId="77777777" w:rsidR="00430AC9" w:rsidRPr="000A7FD1" w:rsidRDefault="00430AC9" w:rsidP="000D1813">
      <w:pPr>
        <w:pStyle w:val="FAM-Bullet-1"/>
        <w:numPr>
          <w:ilvl w:val="0"/>
          <w:numId w:val="44"/>
        </w:numPr>
        <w:ind w:left="1800"/>
      </w:pPr>
      <w:r w:rsidRPr="000A7FD1">
        <w:rPr>
          <w:b/>
          <w:bCs/>
        </w:rPr>
        <w:t>Compliance controls</w:t>
      </w:r>
      <w:r w:rsidRPr="000A7FD1">
        <w:t xml:space="preserve"> for each significant provision of </w:t>
      </w:r>
      <w:r w:rsidR="006E2BCF" w:rsidRPr="000A7FD1">
        <w:t xml:space="preserve">applicable </w:t>
      </w:r>
      <w:r w:rsidRPr="000A7FD1">
        <w:t xml:space="preserve">laws, regulations, contracts, and grant agreements identified for testing (see FAM 245), including </w:t>
      </w:r>
      <w:r w:rsidRPr="000A7FD1">
        <w:rPr>
          <w:b/>
          <w:bCs/>
        </w:rPr>
        <w:t>budget controls</w:t>
      </w:r>
      <w:r w:rsidRPr="000A7FD1">
        <w:t xml:space="preserve"> for each relevant budget restriction (see FAM</w:t>
      </w:r>
      <w:r w:rsidR="00024876" w:rsidRPr="000A7FD1">
        <w:t> </w:t>
      </w:r>
      <w:r w:rsidRPr="000A7FD1">
        <w:t>250).</w:t>
      </w:r>
    </w:p>
    <w:p w14:paraId="01DF1471" w14:textId="7F6DFDE1" w:rsidR="00430AC9" w:rsidRPr="000A7FD1" w:rsidRDefault="00430AC9" w:rsidP="000D1813">
      <w:pPr>
        <w:pStyle w:val="FAM-Bullet-1"/>
        <w:numPr>
          <w:ilvl w:val="0"/>
          <w:numId w:val="44"/>
        </w:numPr>
        <w:ind w:left="1800"/>
      </w:pPr>
      <w:r w:rsidRPr="000A7FD1">
        <w:rPr>
          <w:b/>
          <w:bCs/>
        </w:rPr>
        <w:t>Operations controls</w:t>
      </w:r>
      <w:r w:rsidRPr="000A7FD1">
        <w:t xml:space="preserve"> (1) for data relied on in performing financial audit </w:t>
      </w:r>
      <w:r w:rsidRPr="000A7FD1">
        <w:lastRenderedPageBreak/>
        <w:t xml:space="preserve">procedures or (2) selected for testing by the </w:t>
      </w:r>
      <w:r w:rsidR="00407402" w:rsidRPr="000A7FD1">
        <w:t>engagement</w:t>
      </w:r>
      <w:r w:rsidRPr="000A7FD1">
        <w:t xml:space="preserve"> team</w:t>
      </w:r>
      <w:r w:rsidR="00A30FC3" w:rsidRPr="000A7FD1">
        <w:t xml:space="preserve"> (see FAM 275)</w:t>
      </w:r>
      <w:r w:rsidRPr="000A7FD1">
        <w:t xml:space="preserve">. </w:t>
      </w:r>
    </w:p>
    <w:p w14:paraId="70741F5F" w14:textId="77777777" w:rsidR="00430AC9" w:rsidRPr="000A7FD1" w:rsidRDefault="00430AC9" w:rsidP="004A102E">
      <w:pPr>
        <w:pStyle w:val="FAMSubsection"/>
      </w:pPr>
      <w:r w:rsidRPr="000A7FD1">
        <w:t xml:space="preserve">If the auditor expects to disclaim an opinion because of scope limitations, the auditor may limit internal control work to updating the understanding of the design of controls and whether they have been </w:t>
      </w:r>
      <w:r w:rsidR="00241AB4" w:rsidRPr="000A7FD1">
        <w:t>implemented</w:t>
      </w:r>
      <w:r w:rsidRPr="000A7FD1">
        <w:t>. The auditor may do this by inquiring as to whether previously identified control weaknesses have been corrected. In the year the auditor expects to issue an opinion on the financial statements, the auditor should perform sufficient work on internal control to support the opinion.</w:t>
      </w:r>
    </w:p>
    <w:p w14:paraId="22E2653C" w14:textId="4C55D52C" w:rsidR="00430AC9" w:rsidRPr="000A7FD1" w:rsidRDefault="00430AC9" w:rsidP="004A102E">
      <w:pPr>
        <w:pStyle w:val="FAMSubsection"/>
      </w:pPr>
      <w:r w:rsidRPr="000A7FD1">
        <w:t xml:space="preserve">The auditor should obtain an understanding of how the entity uses the services of a </w:t>
      </w:r>
      <w:r w:rsidRPr="000A7FD1">
        <w:rPr>
          <w:b/>
          <w:bCs/>
        </w:rPr>
        <w:t>service organization</w:t>
      </w:r>
      <w:r w:rsidRPr="000A7FD1">
        <w:t xml:space="preserve"> in the </w:t>
      </w:r>
      <w:r w:rsidR="00CF25B7" w:rsidRPr="000A7FD1">
        <w:t xml:space="preserve">entity’s </w:t>
      </w:r>
      <w:r w:rsidRPr="000A7FD1">
        <w:t>operations for assessing risk and planning other audit procedures,</w:t>
      </w:r>
      <w:r w:rsidR="00BE3BBA" w:rsidRPr="000A7FD1">
        <w:rPr>
          <w:rStyle w:val="FootnoteReference"/>
        </w:rPr>
        <w:footnoteReference w:id="2"/>
      </w:r>
      <w:r w:rsidRPr="000A7FD1">
        <w:t xml:space="preserve"> including the following</w:t>
      </w:r>
      <w:r w:rsidR="00A176C6" w:rsidRPr="000A7FD1">
        <w:t xml:space="preserve"> (AU-C 402.09)</w:t>
      </w:r>
      <w:r w:rsidRPr="000A7FD1">
        <w:t>:</w:t>
      </w:r>
    </w:p>
    <w:p w14:paraId="62528710" w14:textId="3065F98A" w:rsidR="00430AC9" w:rsidRPr="000A7FD1" w:rsidRDefault="00430AC9" w:rsidP="000D1813">
      <w:pPr>
        <w:pStyle w:val="FAM-Bullet-1"/>
        <w:numPr>
          <w:ilvl w:val="0"/>
          <w:numId w:val="45"/>
        </w:numPr>
        <w:ind w:left="1800"/>
      </w:pPr>
      <w:r w:rsidRPr="000A7FD1">
        <w:t xml:space="preserve">the nature of the services provided by the service organization and the significance of those services to the entity, including their effect on the </w:t>
      </w:r>
      <w:r w:rsidR="00CF25B7" w:rsidRPr="000A7FD1">
        <w:t xml:space="preserve">entity’s </w:t>
      </w:r>
      <w:r w:rsidRPr="000A7FD1">
        <w:t>internal control;</w:t>
      </w:r>
    </w:p>
    <w:p w14:paraId="1314499B" w14:textId="2CAA8B18" w:rsidR="00430AC9" w:rsidRPr="000A7FD1" w:rsidRDefault="00430AC9" w:rsidP="000D1813">
      <w:pPr>
        <w:pStyle w:val="FAM-Bullet-1"/>
        <w:numPr>
          <w:ilvl w:val="0"/>
          <w:numId w:val="45"/>
        </w:numPr>
        <w:ind w:left="1800"/>
      </w:pPr>
      <w:r w:rsidRPr="000A7FD1">
        <w:t xml:space="preserve">the nature and materiality of the transactions processed or accounts or financial reporting processes </w:t>
      </w:r>
      <w:r w:rsidR="002E31E8" w:rsidRPr="000A7FD1">
        <w:t>e</w:t>
      </w:r>
      <w:r w:rsidRPr="000A7FD1">
        <w:t xml:space="preserve">ffected by the service organization; </w:t>
      </w:r>
    </w:p>
    <w:p w14:paraId="0C587C27" w14:textId="5DEA9ECC" w:rsidR="00430AC9" w:rsidRPr="000A7FD1" w:rsidRDefault="00430AC9" w:rsidP="000D1813">
      <w:pPr>
        <w:pStyle w:val="FAM-Bullet-1"/>
        <w:numPr>
          <w:ilvl w:val="0"/>
          <w:numId w:val="45"/>
        </w:numPr>
        <w:ind w:left="1800"/>
      </w:pPr>
      <w:r w:rsidRPr="000A7FD1">
        <w:t>the degree of interaction between the activities of the service organization and those of the entity;</w:t>
      </w:r>
      <w:r w:rsidR="00713125" w:rsidRPr="000A7FD1">
        <w:t xml:space="preserve"> </w:t>
      </w:r>
      <w:r w:rsidR="00CD4B63" w:rsidRPr="000A7FD1">
        <w:t>and</w:t>
      </w:r>
    </w:p>
    <w:p w14:paraId="399FAA87" w14:textId="662C120B" w:rsidR="00430AC9" w:rsidRPr="000A7FD1" w:rsidRDefault="00430AC9" w:rsidP="000D1813">
      <w:pPr>
        <w:pStyle w:val="FAM-Bullet-1"/>
        <w:numPr>
          <w:ilvl w:val="0"/>
          <w:numId w:val="45"/>
        </w:numPr>
        <w:ind w:left="1800"/>
      </w:pPr>
      <w:r w:rsidRPr="000A7FD1">
        <w:t>the nature of the relationship between the entity and the service organization, including the relevant contractual terms for the activities undertaken by the service organization</w:t>
      </w:r>
      <w:r w:rsidR="00CD4B63" w:rsidRPr="000A7FD1">
        <w:t>.</w:t>
      </w:r>
    </w:p>
    <w:p w14:paraId="64C50E48" w14:textId="495C6CA4" w:rsidR="00430AC9" w:rsidRPr="000A7FD1" w:rsidRDefault="005777ED" w:rsidP="00067402">
      <w:pPr>
        <w:pStyle w:val="FAM-Bullet-1"/>
        <w:ind w:left="1440"/>
      </w:pPr>
      <w:r w:rsidRPr="000A7FD1">
        <w:t>Based on AU-C 402.10, t</w:t>
      </w:r>
      <w:r w:rsidR="00430AC9" w:rsidRPr="000A7FD1">
        <w:t xml:space="preserve">he auditor should </w:t>
      </w:r>
      <w:r w:rsidRPr="000A7FD1">
        <w:t>determine whether</w:t>
      </w:r>
      <w:r w:rsidR="00430AC9" w:rsidRPr="000A7FD1">
        <w:t xml:space="preserve"> relevant controls at the entity that relate to the services provided by the service organization, including those that are applied to the transactions processed by the service organization</w:t>
      </w:r>
      <w:r w:rsidRPr="000A7FD1">
        <w:t>, have been implemented</w:t>
      </w:r>
      <w:r w:rsidR="00430AC9" w:rsidRPr="000A7FD1">
        <w:t xml:space="preserve">. </w:t>
      </w:r>
      <w:r w:rsidR="008C74F4" w:rsidRPr="000A7FD1">
        <w:t>If performing an audit of internal control over financial reporting, the auditor should consider the activities of the service organization when determining the evidence required to support the auditor’s opinion on the effectiveness of the entity</w:t>
      </w:r>
      <w:r w:rsidR="00BD4301" w:rsidRPr="000A7FD1">
        <w:t>’</w:t>
      </w:r>
      <w:r w:rsidR="008C74F4" w:rsidRPr="000A7FD1">
        <w:t>s internal control over financial reporting (AU-C 940.88).</w:t>
      </w:r>
    </w:p>
    <w:p w14:paraId="25208922" w14:textId="79C0B4F4" w:rsidR="00233CEE" w:rsidRPr="000A7FD1" w:rsidDel="0095634F" w:rsidRDefault="00430AC9" w:rsidP="002E43BC">
      <w:pPr>
        <w:pStyle w:val="FAM-Bullet-1"/>
        <w:ind w:left="1440"/>
      </w:pPr>
      <w:r w:rsidRPr="000A7FD1" w:rsidDel="0095634F">
        <w:t>In addition, the auditor should inquire of management about whether the service organization has reported to the entity, or whether the entity is otherwise aware of, any fraud</w:t>
      </w:r>
      <w:r w:rsidR="00CF25B7" w:rsidRPr="000A7FD1" w:rsidDel="0095634F">
        <w:t xml:space="preserve">; </w:t>
      </w:r>
      <w:r w:rsidRPr="000A7FD1" w:rsidDel="0095634F">
        <w:t>noncompliance with</w:t>
      </w:r>
      <w:r w:rsidR="008F2A00" w:rsidRPr="000A7FD1" w:rsidDel="0095634F">
        <w:t xml:space="preserve"> provisions of</w:t>
      </w:r>
      <w:r w:rsidRPr="000A7FD1" w:rsidDel="0095634F">
        <w:t xml:space="preserve"> laws, regulations, contracts, or grant agreements</w:t>
      </w:r>
      <w:r w:rsidR="00CF25B7" w:rsidRPr="000A7FD1" w:rsidDel="0095634F">
        <w:t xml:space="preserve">; </w:t>
      </w:r>
      <w:r w:rsidRPr="000A7FD1" w:rsidDel="0095634F">
        <w:t xml:space="preserve">or uncorrected misstatements affecting the financial statements of the entity. The auditor should evaluate how such matters, if any, affect the nature, timing, and extent of the </w:t>
      </w:r>
      <w:r w:rsidR="00CF25B7" w:rsidRPr="000A7FD1" w:rsidDel="0095634F">
        <w:t xml:space="preserve">auditor’s </w:t>
      </w:r>
      <w:r w:rsidRPr="000A7FD1" w:rsidDel="0095634F">
        <w:t xml:space="preserve">further audit procedures, including the effect on the </w:t>
      </w:r>
      <w:r w:rsidR="00CF25B7" w:rsidRPr="000A7FD1" w:rsidDel="0095634F">
        <w:t xml:space="preserve">auditor’s </w:t>
      </w:r>
      <w:r w:rsidRPr="000A7FD1" w:rsidDel="0095634F">
        <w:t>conclusions and auditor's report (AU-C 402.19)</w:t>
      </w:r>
      <w:r w:rsidR="00CF25B7" w:rsidRPr="000A7FD1" w:rsidDel="0095634F">
        <w:t>.</w:t>
      </w:r>
      <w:r w:rsidR="00233CEE" w:rsidRPr="000A7FD1" w:rsidDel="0095634F">
        <w:t xml:space="preserve"> </w:t>
      </w:r>
    </w:p>
    <w:p w14:paraId="5C49A01F" w14:textId="3E5D83A3" w:rsidR="00430AC9" w:rsidRPr="000A7FD1" w:rsidRDefault="002E43BC" w:rsidP="00ED2C99">
      <w:pPr>
        <w:pStyle w:val="FAM-Continuation1"/>
      </w:pPr>
      <w:r w:rsidRPr="000A7FD1">
        <w:t xml:space="preserve">See FAM 640 for </w:t>
      </w:r>
      <w:r w:rsidR="00415211" w:rsidRPr="000A7FD1">
        <w:t xml:space="preserve">additional requirements and </w:t>
      </w:r>
      <w:r w:rsidRPr="000A7FD1">
        <w:t>guidance regarding service organizations.</w:t>
      </w:r>
    </w:p>
    <w:p w14:paraId="492BDB8F" w14:textId="0AA8BF53" w:rsidR="00766C2E" w:rsidRPr="000A7FD1" w:rsidRDefault="00430AC9" w:rsidP="004A102E">
      <w:pPr>
        <w:pStyle w:val="FAMSubsection"/>
      </w:pPr>
      <w:r w:rsidRPr="000A7FD1">
        <w:lastRenderedPageBreak/>
        <w:t xml:space="preserve">If the auditor is not providing an opinion on internal control, the auditor should evaluate whether the audit evidence is sufficient </w:t>
      </w:r>
      <w:r w:rsidR="00CE527B" w:rsidRPr="000A7FD1">
        <w:t>to</w:t>
      </w:r>
      <w:r w:rsidRPr="000A7FD1">
        <w:t xml:space="preserve"> achiev</w:t>
      </w:r>
      <w:r w:rsidR="00CE527B" w:rsidRPr="000A7FD1">
        <w:t>e</w:t>
      </w:r>
      <w:r w:rsidRPr="000A7FD1">
        <w:t xml:space="preserve"> the audit objectives related to internal control described in OMB audit </w:t>
      </w:r>
      <w:r w:rsidR="00D200BE" w:rsidRPr="000A7FD1">
        <w:t>guidance</w:t>
      </w:r>
      <w:r w:rsidRPr="000A7FD1">
        <w:t xml:space="preserve">. </w:t>
      </w:r>
    </w:p>
    <w:p w14:paraId="396E3A0B" w14:textId="252A26F2" w:rsidR="00430AC9" w:rsidRPr="000A7FD1" w:rsidRDefault="00766C2E" w:rsidP="00766C2E">
      <w:pPr>
        <w:pStyle w:val="FAMSubsection"/>
        <w:numPr>
          <w:ilvl w:val="0"/>
          <w:numId w:val="0"/>
        </w:numPr>
        <w:ind w:left="1440"/>
      </w:pPr>
      <w:r w:rsidRPr="000A7FD1">
        <w:t xml:space="preserve">If </w:t>
      </w:r>
      <w:r w:rsidR="0099628B" w:rsidRPr="000A7FD1">
        <w:t>the auditor is not providing an opinion on internal control or</w:t>
      </w:r>
      <w:r w:rsidRPr="000A7FD1">
        <w:t xml:space="preserve"> is disclaiming an opinion on internal control, t</w:t>
      </w:r>
      <w:r w:rsidR="00430AC9" w:rsidRPr="000A7FD1">
        <w:t xml:space="preserve">he auditor should evaluate whether the scope of the work is sufficient </w:t>
      </w:r>
      <w:r w:rsidR="00CE527B" w:rsidRPr="000A7FD1">
        <w:t xml:space="preserve">to </w:t>
      </w:r>
      <w:r w:rsidR="00430AC9" w:rsidRPr="000A7FD1">
        <w:t xml:space="preserve">meet the audit objective related to compliance with </w:t>
      </w:r>
      <w:r w:rsidR="00D310D1" w:rsidRPr="000A7FD1">
        <w:t xml:space="preserve">significant provisions of </w:t>
      </w:r>
      <w:r w:rsidR="00430AC9" w:rsidRPr="000A7FD1">
        <w:t>applicable laws, regulations, contracts, and grant agreements. If the scope is not sufficient, the auditor should report a scope limitation as discussed in FAM</w:t>
      </w:r>
      <w:r w:rsidR="00024876" w:rsidRPr="000A7FD1">
        <w:t> </w:t>
      </w:r>
      <w:r w:rsidR="00430AC9" w:rsidRPr="000A7FD1">
        <w:t>580.</w:t>
      </w:r>
      <w:r w:rsidR="00594D6D" w:rsidRPr="000A7FD1">
        <w:t>9</w:t>
      </w:r>
      <w:r w:rsidR="00780A6C" w:rsidRPr="000A7FD1">
        <w:t>7</w:t>
      </w:r>
      <w:r w:rsidR="009627E0" w:rsidRPr="000A7FD1">
        <w:t xml:space="preserve"> through .</w:t>
      </w:r>
      <w:r w:rsidR="00594D6D" w:rsidRPr="000A7FD1">
        <w:t>9</w:t>
      </w:r>
      <w:r w:rsidR="00780A6C" w:rsidRPr="000A7FD1">
        <w:t>8</w:t>
      </w:r>
      <w:r w:rsidR="00430AC9" w:rsidRPr="000A7FD1">
        <w:t xml:space="preserve">. </w:t>
      </w:r>
    </w:p>
    <w:p w14:paraId="62737220" w14:textId="571F71F7" w:rsidR="00EA000A" w:rsidRPr="000A7FD1" w:rsidRDefault="00EA000A" w:rsidP="008B734E">
      <w:pPr>
        <w:pStyle w:val="FAM-Bullet-1"/>
        <w:sectPr w:rsidR="00EA000A" w:rsidRPr="000A7FD1" w:rsidSect="00666BFE">
          <w:headerReference w:type="default" r:id="rId18"/>
          <w:footerReference w:type="default" r:id="rId19"/>
          <w:endnotePr>
            <w:numFmt w:val="decimal"/>
          </w:endnotePr>
          <w:pgSz w:w="12240" w:h="15840"/>
          <w:pgMar w:top="1080" w:right="1440" w:bottom="1080" w:left="1080" w:header="720" w:footer="720" w:gutter="360"/>
          <w:pgNumType w:start="1"/>
          <w:cols w:space="720"/>
          <w:noEndnote/>
          <w:docGrid w:linePitch="326"/>
        </w:sectPr>
      </w:pPr>
    </w:p>
    <w:p w14:paraId="01EE2EF0" w14:textId="77777777" w:rsidR="003A44C9" w:rsidRPr="000A7FD1" w:rsidRDefault="003A44C9" w:rsidP="00713125">
      <w:pPr>
        <w:pStyle w:val="Heading2FAM"/>
      </w:pPr>
      <w:r w:rsidRPr="000A7FD1">
        <w:lastRenderedPageBreak/>
        <w:t xml:space="preserve">320 </w:t>
      </w:r>
      <w:r w:rsidR="001256B6" w:rsidRPr="000A7FD1">
        <w:t>–</w:t>
      </w:r>
      <w:r w:rsidRPr="000A7FD1">
        <w:t xml:space="preserve"> Understand Information Systems</w:t>
      </w:r>
    </w:p>
    <w:p w14:paraId="298B6396" w14:textId="70EAEBA0" w:rsidR="003A44C9" w:rsidRPr="000A7FD1" w:rsidRDefault="003A44C9" w:rsidP="00CC7A2D">
      <w:pPr>
        <w:pStyle w:val="FAM-Subsection"/>
        <w:numPr>
          <w:ilvl w:val="0"/>
          <w:numId w:val="23"/>
        </w:numPr>
      </w:pPr>
      <w:r w:rsidRPr="000A7FD1">
        <w:t xml:space="preserve">The auditor should obtain an understanding of the design of the entity’s information systems (whether automated or manual), including the processes relevant to financial reporting, for </w:t>
      </w:r>
    </w:p>
    <w:p w14:paraId="63784663" w14:textId="7F5E440B" w:rsidR="003A44C9" w:rsidRPr="000A7FD1" w:rsidRDefault="008E1440" w:rsidP="000D1813">
      <w:pPr>
        <w:pStyle w:val="FAM-Bullet-1"/>
        <w:numPr>
          <w:ilvl w:val="0"/>
          <w:numId w:val="51"/>
        </w:numPr>
        <w:ind w:left="1800"/>
      </w:pPr>
      <w:r w:rsidRPr="000A7FD1">
        <w:t>processing and reporting of a</w:t>
      </w:r>
      <w:r w:rsidR="003A44C9" w:rsidRPr="000A7FD1">
        <w:t>ccounting, budget, compliance, and operations data and</w:t>
      </w:r>
    </w:p>
    <w:p w14:paraId="18312D18" w14:textId="77777777" w:rsidR="003A44C9" w:rsidRPr="000A7FD1" w:rsidRDefault="003A44C9" w:rsidP="000D1813">
      <w:pPr>
        <w:pStyle w:val="FAM-Bullet-1"/>
        <w:numPr>
          <w:ilvl w:val="0"/>
          <w:numId w:val="51"/>
        </w:numPr>
        <w:ind w:left="1800"/>
      </w:pPr>
      <w:r w:rsidRPr="000A7FD1">
        <w:t>maintaining accountability for the related assets, liabilities, equity, and budgetary resources.</w:t>
      </w:r>
      <w:r w:rsidRPr="000A7FD1">
        <w:rPr>
          <w:rStyle w:val="FootnoteReference"/>
        </w:rPr>
        <w:footnoteReference w:id="3"/>
      </w:r>
      <w:r w:rsidR="00713125" w:rsidRPr="000A7FD1">
        <w:t xml:space="preserve"> </w:t>
      </w:r>
    </w:p>
    <w:p w14:paraId="319B9F20" w14:textId="5E6561FD" w:rsidR="003A44C9" w:rsidRPr="000A7FD1" w:rsidRDefault="003A44C9" w:rsidP="004A102E">
      <w:pPr>
        <w:pStyle w:val="FAM-Continuation1"/>
      </w:pPr>
      <w:r w:rsidRPr="000A7FD1">
        <w:t>These systems include procedures established to initiate, authorize, record, process, and report entity transactions (as well as events and conditions) to maintain accountability and to monitor compliance. Information systems are part of the information and communication component of internal control</w:t>
      </w:r>
      <w:r w:rsidR="00FF13AE" w:rsidRPr="000A7FD1">
        <w:t xml:space="preserve"> (see FAM 260)</w:t>
      </w:r>
      <w:r w:rsidRPr="000A7FD1">
        <w:t xml:space="preserve">. </w:t>
      </w:r>
    </w:p>
    <w:p w14:paraId="3A346B50" w14:textId="726D1AD2" w:rsidR="003A44C9" w:rsidRPr="000A7FD1" w:rsidRDefault="003A44C9" w:rsidP="004A102E">
      <w:pPr>
        <w:pStyle w:val="FAM-Continuation1"/>
      </w:pPr>
      <w:r w:rsidRPr="000A7FD1">
        <w:t>The auditor should obtain sufficient knowledge of each type of system to understand the information reflected in FAM 320.03</w:t>
      </w:r>
      <w:r w:rsidR="001256B6" w:rsidRPr="000A7FD1">
        <w:t xml:space="preserve"> through .</w:t>
      </w:r>
      <w:r w:rsidRPr="000A7FD1">
        <w:t>07 in a manner that is appropriate to the entity’s circumstances. This includes obtaining an understanding of how transactions originate within the entity’s business processes</w:t>
      </w:r>
      <w:r w:rsidR="001256B6" w:rsidRPr="000A7FD1">
        <w:t>,</w:t>
      </w:r>
      <w:r w:rsidRPr="000A7FD1">
        <w:t xml:space="preserve"> as discussed in AU-C 315.A</w:t>
      </w:r>
      <w:r w:rsidR="000356AF" w:rsidRPr="000A7FD1">
        <w:t>154</w:t>
      </w:r>
      <w:r w:rsidRPr="000A7FD1">
        <w:t xml:space="preserve">. It also includes understanding procedures for preparing financial statements and </w:t>
      </w:r>
      <w:r w:rsidR="007D4651" w:rsidRPr="000A7FD1">
        <w:t xml:space="preserve">note </w:t>
      </w:r>
      <w:r w:rsidRPr="000A7FD1">
        <w:t xml:space="preserve">disclosures (including year-end journal entries and reclassifications) and understanding how misstatements may occur. The auditor should identify the points within the </w:t>
      </w:r>
      <w:r w:rsidR="001256B6" w:rsidRPr="000A7FD1">
        <w:t xml:space="preserve">entity’s </w:t>
      </w:r>
      <w:r w:rsidRPr="000A7FD1">
        <w:t>processes at which a misstatement, including a misstatement due to fraud, could arise that individually or in combination with other misstatements, would be material (for example, points at which information is initiated, transferred, or otherwise modified) (</w:t>
      </w:r>
      <w:r w:rsidR="00504379" w:rsidRPr="000A7FD1">
        <w:t>AU-C 940.29</w:t>
      </w:r>
      <w:r w:rsidR="00EE075B" w:rsidRPr="000A7FD1">
        <w:t>b</w:t>
      </w:r>
      <w:r w:rsidRPr="000A7FD1">
        <w:t>)</w:t>
      </w:r>
      <w:r w:rsidR="00653A72" w:rsidRPr="000A7FD1">
        <w:t>.</w:t>
      </w:r>
      <w:r w:rsidRPr="000A7FD1">
        <w:t xml:space="preserve"> </w:t>
      </w:r>
    </w:p>
    <w:p w14:paraId="0805A9FE" w14:textId="54E705A7" w:rsidR="008E7E2C" w:rsidRPr="000A7FD1" w:rsidRDefault="008E7E2C" w:rsidP="00FF13AE">
      <w:pPr>
        <w:pStyle w:val="FAM-Continuation1"/>
      </w:pPr>
      <w:r w:rsidRPr="000A7FD1">
        <w:t xml:space="preserve">If the auditor has determined that </w:t>
      </w:r>
      <w:r w:rsidR="00CE527B" w:rsidRPr="000A7FD1">
        <w:t xml:space="preserve">a service organization maintains </w:t>
      </w:r>
      <w:r w:rsidRPr="000A7FD1">
        <w:t xml:space="preserve">any of the </w:t>
      </w:r>
      <w:r w:rsidR="0034795C" w:rsidRPr="000A7FD1">
        <w:t>significant financial management</w:t>
      </w:r>
      <w:r w:rsidRPr="000A7FD1">
        <w:t xml:space="preserve"> systems, then the auditor should follow the guidance outlined in FAM 640.</w:t>
      </w:r>
    </w:p>
    <w:p w14:paraId="5C572527" w14:textId="4E90C5F6" w:rsidR="004D74D1" w:rsidRPr="000A7FD1" w:rsidRDefault="009B03A6" w:rsidP="004A102E">
      <w:pPr>
        <w:pStyle w:val="FAM-Continuation1"/>
      </w:pPr>
      <w:r w:rsidRPr="000A7FD1">
        <w:rPr>
          <w:szCs w:val="22"/>
        </w:rPr>
        <w:t>Because of</w:t>
      </w:r>
      <w:r w:rsidR="00377CDD" w:rsidRPr="000A7FD1">
        <w:rPr>
          <w:szCs w:val="22"/>
        </w:rPr>
        <w:t xml:space="preserve"> the technical nature of many IS controls, the auditor generally should obtain assistance from an IS controls auditor in understanding the entity’s use of information system</w:t>
      </w:r>
      <w:r w:rsidR="00275F4B" w:rsidRPr="000A7FD1">
        <w:rPr>
          <w:szCs w:val="22"/>
        </w:rPr>
        <w:t xml:space="preserve"> processing</w:t>
      </w:r>
      <w:r w:rsidR="00377CDD" w:rsidRPr="000A7FD1">
        <w:rPr>
          <w:szCs w:val="22"/>
        </w:rPr>
        <w:t xml:space="preserve"> </w:t>
      </w:r>
      <w:r w:rsidR="00781536" w:rsidRPr="000A7FD1">
        <w:rPr>
          <w:szCs w:val="22"/>
        </w:rPr>
        <w:t xml:space="preserve">(i.e., </w:t>
      </w:r>
      <w:r w:rsidR="000511E1" w:rsidRPr="000A7FD1">
        <w:rPr>
          <w:szCs w:val="22"/>
        </w:rPr>
        <w:t xml:space="preserve">processing performed by information systems </w:t>
      </w:r>
      <w:r w:rsidR="00A9173B" w:rsidRPr="000A7FD1">
        <w:rPr>
          <w:szCs w:val="22"/>
        </w:rPr>
        <w:t>using</w:t>
      </w:r>
      <w:r w:rsidR="000511E1" w:rsidRPr="000A7FD1">
        <w:rPr>
          <w:szCs w:val="22"/>
        </w:rPr>
        <w:t xml:space="preserve"> </w:t>
      </w:r>
      <w:r w:rsidR="00781536" w:rsidRPr="000A7FD1">
        <w:rPr>
          <w:szCs w:val="22"/>
        </w:rPr>
        <w:t xml:space="preserve">information technology) </w:t>
      </w:r>
      <w:r w:rsidR="00377CDD" w:rsidRPr="000A7FD1">
        <w:rPr>
          <w:szCs w:val="22"/>
        </w:rPr>
        <w:t xml:space="preserve">and </w:t>
      </w:r>
      <w:r w:rsidR="006A1772" w:rsidRPr="000A7FD1">
        <w:rPr>
          <w:szCs w:val="22"/>
        </w:rPr>
        <w:t xml:space="preserve">in </w:t>
      </w:r>
      <w:r w:rsidR="00377CDD" w:rsidRPr="000A7FD1">
        <w:rPr>
          <w:szCs w:val="22"/>
        </w:rPr>
        <w:t>planning, directing, or performing audit procedures related to assessing IS controls</w:t>
      </w:r>
      <w:r w:rsidR="004D0CA7" w:rsidRPr="000A7FD1">
        <w:rPr>
          <w:szCs w:val="22"/>
        </w:rPr>
        <w:t xml:space="preserve">. Additionally, an information technology specialist may assist the auditor in understanding technical aspects of information system </w:t>
      </w:r>
      <w:r w:rsidR="0042177C" w:rsidRPr="000A7FD1">
        <w:rPr>
          <w:szCs w:val="22"/>
        </w:rPr>
        <w:t xml:space="preserve">processing </w:t>
      </w:r>
      <w:r w:rsidR="004D0CA7" w:rsidRPr="000A7FD1">
        <w:rPr>
          <w:szCs w:val="22"/>
        </w:rPr>
        <w:t xml:space="preserve">and IS controls. </w:t>
      </w:r>
      <w:r w:rsidR="00290D7D" w:rsidRPr="000A7FD1">
        <w:t xml:space="preserve">The auditor may also coordinate with or leverage work </w:t>
      </w:r>
      <w:r w:rsidR="00CE527B" w:rsidRPr="000A7FD1">
        <w:t>of</w:t>
      </w:r>
      <w:r w:rsidR="00290D7D" w:rsidRPr="000A7FD1">
        <w:t xml:space="preserve"> the </w:t>
      </w:r>
      <w:r w:rsidR="0025254F" w:rsidRPr="000A7FD1">
        <w:t xml:space="preserve">Federal Information Security Modernization Act of 2014 </w:t>
      </w:r>
      <w:r w:rsidR="00290D7D" w:rsidRPr="000A7FD1">
        <w:t>auditor</w:t>
      </w:r>
      <w:r w:rsidR="003B1EFD" w:rsidRPr="000A7FD1">
        <w:t xml:space="preserve"> or </w:t>
      </w:r>
      <w:r w:rsidR="00290D7D" w:rsidRPr="000A7FD1">
        <w:t>evaluator in understanding entity’s IS control</w:t>
      </w:r>
      <w:r w:rsidR="002A72CA" w:rsidRPr="000A7FD1">
        <w:t>s</w:t>
      </w:r>
      <w:r w:rsidR="00290D7D" w:rsidRPr="000A7FD1">
        <w:t xml:space="preserve"> environment. </w:t>
      </w:r>
      <w:r w:rsidR="003A44C9" w:rsidRPr="000A7FD1">
        <w:t>The auditor should document the understanding of the</w:t>
      </w:r>
      <w:r w:rsidR="002A72CA" w:rsidRPr="000A7FD1">
        <w:t xml:space="preserve"> information</w:t>
      </w:r>
      <w:r w:rsidR="003A44C9" w:rsidRPr="000A7FD1">
        <w:t xml:space="preserve"> system </w:t>
      </w:r>
      <w:r w:rsidR="002A72CA" w:rsidRPr="000A7FD1">
        <w:t xml:space="preserve">processing and IS controls </w:t>
      </w:r>
      <w:r w:rsidR="003A44C9" w:rsidRPr="000A7FD1">
        <w:t xml:space="preserve">in cycle memorandums, or other equivalent narratives, and may prepare or obtain related flowcharts. FAM 340 and 350 discuss identifying and </w:t>
      </w:r>
      <w:r w:rsidR="003A44C9" w:rsidRPr="000A7FD1">
        <w:lastRenderedPageBreak/>
        <w:t xml:space="preserve">documenting controls that </w:t>
      </w:r>
      <w:r w:rsidR="00C64A3B" w:rsidRPr="000A7FD1">
        <w:t>achieve control objectives</w:t>
      </w:r>
      <w:r w:rsidR="003A44C9" w:rsidRPr="000A7FD1">
        <w:t>.</w:t>
      </w:r>
    </w:p>
    <w:p w14:paraId="66A9C885" w14:textId="28CF0663" w:rsidR="00DE2D0C" w:rsidRPr="000A7FD1" w:rsidRDefault="00DE2D0C" w:rsidP="00DE2D0C">
      <w:pPr>
        <w:pStyle w:val="StyleHeading3FAM"/>
      </w:pPr>
      <w:r w:rsidRPr="000A7FD1">
        <w:t>Walk-throughs of Information Systems</w:t>
      </w:r>
    </w:p>
    <w:p w14:paraId="163925A2" w14:textId="26C3B588" w:rsidR="003A44C9" w:rsidRPr="000A7FD1" w:rsidRDefault="003A44C9" w:rsidP="004A102E">
      <w:pPr>
        <w:pStyle w:val="FAMSubsection"/>
      </w:pPr>
      <w:r w:rsidRPr="000A7FD1">
        <w:t>The auditor generally should perform sufficient system walk-throughs to confirm the understanding of significant information about such systems</w:t>
      </w:r>
      <w:r w:rsidR="00942B82" w:rsidRPr="000A7FD1">
        <w:t xml:space="preserve"> and</w:t>
      </w:r>
      <w:r w:rsidRPr="000A7FD1">
        <w:t xml:space="preserve"> discuss any system changes with management. FAM 350.</w:t>
      </w:r>
      <w:r w:rsidR="00C40ED5" w:rsidRPr="000A7FD1">
        <w:t>08</w:t>
      </w:r>
      <w:r w:rsidRPr="000A7FD1">
        <w:t xml:space="preserve"> discusses walk-throughs to confirm the auditor’s understanding of controls. In a walk-through of a </w:t>
      </w:r>
      <w:r w:rsidR="00F43558" w:rsidRPr="000A7FD1">
        <w:t xml:space="preserve">financial management </w:t>
      </w:r>
      <w:r w:rsidRPr="000A7FD1">
        <w:t xml:space="preserve">system, the auditor traces one or more transactions from initiation through all processing to inclusion in the general ledger, observing the processing in operation, making inquiries of entity staff, and </w:t>
      </w:r>
      <w:r w:rsidR="00E81AC3" w:rsidRPr="000A7FD1">
        <w:t xml:space="preserve">inspecting </w:t>
      </w:r>
      <w:r w:rsidRPr="000A7FD1">
        <w:t>related documents.</w:t>
      </w:r>
      <w:r w:rsidR="00713125" w:rsidRPr="000A7FD1">
        <w:t xml:space="preserve"> </w:t>
      </w:r>
    </w:p>
    <w:p w14:paraId="296570E0" w14:textId="18E0C054" w:rsidR="003A44C9" w:rsidRPr="000A7FD1" w:rsidRDefault="003A44C9" w:rsidP="004A102E">
      <w:pPr>
        <w:pStyle w:val="FAM-Continuation1"/>
      </w:pPr>
      <w:r w:rsidRPr="000A7FD1">
        <w:t>Walk-throughs are important for understanding the transaction process and for determining appropriate audit procedures. The auditor should perform walk</w:t>
      </w:r>
      <w:r w:rsidR="00EF15F5" w:rsidRPr="000A7FD1">
        <w:t>-</w:t>
      </w:r>
      <w:r w:rsidRPr="000A7FD1">
        <w:t xml:space="preserve">throughs for all </w:t>
      </w:r>
      <w:r w:rsidR="00E10011" w:rsidRPr="000A7FD1">
        <w:t xml:space="preserve">material </w:t>
      </w:r>
      <w:r w:rsidR="008E1440" w:rsidRPr="000A7FD1">
        <w:t xml:space="preserve">line items, accounts, note disclosures, and </w:t>
      </w:r>
      <w:r w:rsidR="003163BF" w:rsidRPr="000A7FD1">
        <w:t>classes of transactions</w:t>
      </w:r>
      <w:r w:rsidRPr="000A7FD1">
        <w:t xml:space="preserve">. Walk-throughs of </w:t>
      </w:r>
      <w:r w:rsidR="00F43558" w:rsidRPr="000A7FD1">
        <w:t>financial management</w:t>
      </w:r>
      <w:r w:rsidR="00A816A2" w:rsidRPr="000A7FD1">
        <w:t xml:space="preserve">, </w:t>
      </w:r>
      <w:r w:rsidRPr="000A7FD1">
        <w:t>budget, compliance, and operations systems provide evidence about the functioning of such systems. The auditor should document these walk-throughs. The auditor should incorporate the information technology aspects of each system into the audit documentation and may include additional flowcharts, narratives, and checklists.</w:t>
      </w:r>
      <w:r w:rsidR="0046417C" w:rsidRPr="000A7FD1">
        <w:t xml:space="preserve"> </w:t>
      </w:r>
    </w:p>
    <w:p w14:paraId="33A7FD9E" w14:textId="7BCD1D44" w:rsidR="003A44C9" w:rsidRPr="000A7FD1" w:rsidRDefault="00F43558" w:rsidP="00F363DF">
      <w:pPr>
        <w:pStyle w:val="StyleHeading3FAM"/>
      </w:pPr>
      <w:r w:rsidRPr="000A7FD1">
        <w:t xml:space="preserve">Financial Management </w:t>
      </w:r>
      <w:r w:rsidR="003A44C9" w:rsidRPr="000A7FD1">
        <w:t>Systems</w:t>
      </w:r>
    </w:p>
    <w:p w14:paraId="4EB971BC" w14:textId="3C20E4B4" w:rsidR="003A44C9" w:rsidRPr="000A7FD1" w:rsidRDefault="003A44C9" w:rsidP="004A102E">
      <w:pPr>
        <w:pStyle w:val="FAM-Subsection"/>
      </w:pPr>
      <w:r w:rsidRPr="000A7FD1">
        <w:t xml:space="preserve">For each </w:t>
      </w:r>
      <w:r w:rsidR="00E10011" w:rsidRPr="000A7FD1">
        <w:t xml:space="preserve">material </w:t>
      </w:r>
      <w:r w:rsidR="008E1440" w:rsidRPr="000A7FD1">
        <w:t xml:space="preserve">line item, account, note disclosure, and </w:t>
      </w:r>
      <w:r w:rsidR="000340E3" w:rsidRPr="000A7FD1">
        <w:t>class of transaction</w:t>
      </w:r>
      <w:r w:rsidR="00FD5C30" w:rsidRPr="000A7FD1">
        <w:t>s</w:t>
      </w:r>
      <w:r w:rsidR="000340E3" w:rsidRPr="000A7FD1">
        <w:t xml:space="preserve"> </w:t>
      </w:r>
      <w:r w:rsidRPr="000A7FD1">
        <w:t>identified in FAM 2</w:t>
      </w:r>
      <w:r w:rsidR="003163BF" w:rsidRPr="000A7FD1">
        <w:t>35</w:t>
      </w:r>
      <w:r w:rsidR="009B7864" w:rsidRPr="000A7FD1">
        <w:t>,</w:t>
      </w:r>
      <w:r w:rsidRPr="000A7FD1">
        <w:t xml:space="preserve"> the auditor should obtain an understanding of and should document the design of</w:t>
      </w:r>
    </w:p>
    <w:p w14:paraId="3B4D233F" w14:textId="77777777" w:rsidR="003A44C9" w:rsidRPr="000A7FD1" w:rsidRDefault="003A44C9" w:rsidP="000D1813">
      <w:pPr>
        <w:pStyle w:val="FAM-Bullet-1"/>
        <w:numPr>
          <w:ilvl w:val="0"/>
          <w:numId w:val="50"/>
        </w:numPr>
        <w:ind w:left="1800"/>
      </w:pPr>
      <w:r w:rsidRPr="000A7FD1">
        <w:t>procedures by which transactions are initiated, authorized, recorded, processed, summarized, and reported in the financial statements;</w:t>
      </w:r>
    </w:p>
    <w:p w14:paraId="194DFB96" w14:textId="0BD7D8EB" w:rsidR="003A44C9" w:rsidRPr="000A7FD1" w:rsidRDefault="003A44C9" w:rsidP="000D1813">
      <w:pPr>
        <w:pStyle w:val="FAM-Bullet-1"/>
        <w:numPr>
          <w:ilvl w:val="0"/>
          <w:numId w:val="50"/>
        </w:numPr>
        <w:ind w:left="1800"/>
      </w:pPr>
      <w:r w:rsidRPr="000A7FD1">
        <w:t>nature and type of related records, journals, ledgers, feeder systems, and source documents and the accounts involved;</w:t>
      </w:r>
    </w:p>
    <w:p w14:paraId="5FB958D8" w14:textId="77777777" w:rsidR="003A44C9" w:rsidRPr="000A7FD1" w:rsidRDefault="003A44C9" w:rsidP="000D1813">
      <w:pPr>
        <w:pStyle w:val="FAM-Bullet-1"/>
        <w:numPr>
          <w:ilvl w:val="0"/>
          <w:numId w:val="50"/>
        </w:numPr>
        <w:ind w:left="1800"/>
      </w:pPr>
      <w:r w:rsidRPr="000A7FD1">
        <w:t>processing involved from the initiation of transactions to their inclusion in the financial statements, including the nature of computer files and the manner in which they are accessed, updated, and deleted;</w:t>
      </w:r>
    </w:p>
    <w:p w14:paraId="64924EE0" w14:textId="77777777" w:rsidR="003A44C9" w:rsidRPr="000A7FD1" w:rsidRDefault="003A44C9" w:rsidP="000D1813">
      <w:pPr>
        <w:pStyle w:val="FAM-Bullet-1"/>
        <w:numPr>
          <w:ilvl w:val="0"/>
          <w:numId w:val="50"/>
        </w:numPr>
        <w:ind w:left="1800"/>
      </w:pPr>
      <w:r w:rsidRPr="000A7FD1">
        <w:t>process for resolving the incorrect processing of transactions, for example, such an understanding might include how the entity determines whether suspense items are cleared out of an automated suspense file on a timely basis and how system overrides or bypasses to controls are processed and accounted for;</w:t>
      </w:r>
    </w:p>
    <w:p w14:paraId="5BE8E39B" w14:textId="77777777" w:rsidR="003A44C9" w:rsidRPr="000A7FD1" w:rsidRDefault="003A44C9" w:rsidP="000D1813">
      <w:pPr>
        <w:pStyle w:val="FAM-Bullet-1"/>
        <w:numPr>
          <w:ilvl w:val="0"/>
          <w:numId w:val="50"/>
        </w:numPr>
        <w:ind w:left="1800"/>
      </w:pPr>
      <w:r w:rsidRPr="000A7FD1">
        <w:t>processes for reconciling transaction detail to the general ledger and correcting reconciling items as needed;</w:t>
      </w:r>
    </w:p>
    <w:p w14:paraId="1070914C" w14:textId="1CBDC95F" w:rsidR="003A44C9" w:rsidRPr="000A7FD1" w:rsidRDefault="003A44C9" w:rsidP="000D1813">
      <w:pPr>
        <w:pStyle w:val="FAM-Bullet-1"/>
        <w:numPr>
          <w:ilvl w:val="0"/>
          <w:numId w:val="50"/>
        </w:numPr>
        <w:ind w:left="1800"/>
      </w:pPr>
      <w:r w:rsidRPr="000A7FD1">
        <w:t>processes by which the information systems capture events and conditions, other than classes of transactions, that are significant to the financial statements;</w:t>
      </w:r>
      <w:r w:rsidR="00713125" w:rsidRPr="000A7FD1">
        <w:t xml:space="preserve"> </w:t>
      </w:r>
      <w:r w:rsidR="0001543F" w:rsidRPr="000A7FD1">
        <w:t>and</w:t>
      </w:r>
    </w:p>
    <w:p w14:paraId="4982B7DF" w14:textId="331E3A31" w:rsidR="003A44C9" w:rsidRPr="000A7FD1" w:rsidRDefault="003A44C9" w:rsidP="000D1813">
      <w:pPr>
        <w:pStyle w:val="FAM-Bullet-1"/>
        <w:numPr>
          <w:ilvl w:val="0"/>
          <w:numId w:val="50"/>
        </w:numPr>
        <w:ind w:left="1800"/>
      </w:pPr>
      <w:r w:rsidRPr="000A7FD1">
        <w:t xml:space="preserve">processes used to prepare the entity’s financial statements and budget </w:t>
      </w:r>
      <w:r w:rsidR="00290D7D" w:rsidRPr="000A7FD1">
        <w:t xml:space="preserve">execution </w:t>
      </w:r>
      <w:r w:rsidRPr="000A7FD1">
        <w:t xml:space="preserve">information, including significant accounting estimates, </w:t>
      </w:r>
      <w:r w:rsidR="005E3350" w:rsidRPr="000A7FD1">
        <w:t xml:space="preserve">note </w:t>
      </w:r>
      <w:r w:rsidRPr="000A7FD1">
        <w:t xml:space="preserve">disclosures, and information system processing. </w:t>
      </w:r>
      <w:r w:rsidR="009317DB" w:rsidRPr="000A7FD1">
        <w:t xml:space="preserve">Because of </w:t>
      </w:r>
      <w:r w:rsidR="009317DB" w:rsidRPr="000A7FD1">
        <w:rPr>
          <w:color w:val="252525"/>
        </w:rPr>
        <w:t xml:space="preserve">its importance to financial reporting and to the integrated audit, the auditor should evaluate the period-end financial reporting process (AU-C 940.24). </w:t>
      </w:r>
      <w:r w:rsidRPr="000A7FD1">
        <w:t xml:space="preserve">These processes </w:t>
      </w:r>
      <w:r w:rsidRPr="000A7FD1">
        <w:lastRenderedPageBreak/>
        <w:t>include</w:t>
      </w:r>
    </w:p>
    <w:p w14:paraId="36D4C6BF" w14:textId="77777777" w:rsidR="003A44C9" w:rsidRPr="000A7FD1" w:rsidRDefault="003A44C9" w:rsidP="00BC5823">
      <w:pPr>
        <w:pStyle w:val="FAMBullet2"/>
        <w:tabs>
          <w:tab w:val="clear" w:pos="2160"/>
          <w:tab w:val="num" w:pos="2700"/>
        </w:tabs>
      </w:pPr>
      <w:r w:rsidRPr="000A7FD1">
        <w:t>procedures used to enter transaction totals into the general ledger;</w:t>
      </w:r>
    </w:p>
    <w:p w14:paraId="1BD953F9" w14:textId="77777777" w:rsidR="003A44C9" w:rsidRPr="000A7FD1" w:rsidRDefault="003A44C9" w:rsidP="00BC5823">
      <w:pPr>
        <w:pStyle w:val="FAMBullet2"/>
        <w:tabs>
          <w:tab w:val="clear" w:pos="2160"/>
          <w:tab w:val="num" w:pos="2700"/>
        </w:tabs>
      </w:pPr>
      <w:r w:rsidRPr="000A7FD1">
        <w:t>procedures related to the selection and application of accounting policies</w:t>
      </w:r>
      <w:r w:rsidR="009317DB" w:rsidRPr="000A7FD1">
        <w:t>;</w:t>
      </w:r>
      <w:r w:rsidRPr="000A7FD1">
        <w:t xml:space="preserve"> </w:t>
      </w:r>
    </w:p>
    <w:p w14:paraId="7B772EFA" w14:textId="77777777" w:rsidR="003A44C9" w:rsidRPr="000A7FD1" w:rsidRDefault="003A44C9" w:rsidP="00BC5823">
      <w:pPr>
        <w:pStyle w:val="FAMBullet2"/>
        <w:tabs>
          <w:tab w:val="clear" w:pos="2160"/>
          <w:tab w:val="num" w:pos="2700"/>
        </w:tabs>
      </w:pPr>
      <w:r w:rsidRPr="000A7FD1">
        <w:t>procedures used to initiate, authorize, record, and process journal entries in the general ledger;</w:t>
      </w:r>
    </w:p>
    <w:p w14:paraId="26521D84" w14:textId="77777777" w:rsidR="009317DB" w:rsidRPr="000A7FD1" w:rsidRDefault="003A44C9" w:rsidP="00BC5823">
      <w:pPr>
        <w:pStyle w:val="FAMBullet2"/>
        <w:tabs>
          <w:tab w:val="clear" w:pos="2160"/>
          <w:tab w:val="num" w:pos="2700"/>
        </w:tabs>
      </w:pPr>
      <w:r w:rsidRPr="000A7FD1">
        <w:t>procedures used to record recurring and nonrecurring adjustments to the financial statements</w:t>
      </w:r>
      <w:r w:rsidR="009317DB" w:rsidRPr="000A7FD1">
        <w:t>;</w:t>
      </w:r>
      <w:r w:rsidR="006371AA" w:rsidRPr="000A7FD1">
        <w:t xml:space="preserve"> </w:t>
      </w:r>
    </w:p>
    <w:p w14:paraId="37430B9F" w14:textId="77777777" w:rsidR="003A44C9" w:rsidRPr="000A7FD1" w:rsidRDefault="009317DB" w:rsidP="00BC5823">
      <w:pPr>
        <w:pStyle w:val="FAMBullet2"/>
        <w:tabs>
          <w:tab w:val="clear" w:pos="2160"/>
          <w:tab w:val="num" w:pos="2700"/>
        </w:tabs>
      </w:pPr>
      <w:r w:rsidRPr="000A7FD1">
        <w:t xml:space="preserve">procedures for preparing financial statements </w:t>
      </w:r>
      <w:r w:rsidR="006371AA" w:rsidRPr="000A7FD1">
        <w:t>(AU-C 940.24);</w:t>
      </w:r>
      <w:r w:rsidRPr="000A7FD1">
        <w:t xml:space="preserve"> and</w:t>
      </w:r>
    </w:p>
    <w:p w14:paraId="2221B538" w14:textId="72A97161" w:rsidR="003A44C9" w:rsidRPr="000A7FD1" w:rsidRDefault="003A44C9" w:rsidP="00BC5823">
      <w:pPr>
        <w:pStyle w:val="FAMBullet2"/>
        <w:tabs>
          <w:tab w:val="clear" w:pos="2160"/>
          <w:tab w:val="num" w:pos="2700"/>
        </w:tabs>
      </w:pPr>
      <w:r w:rsidRPr="000A7FD1">
        <w:t>procedures used to combine and consolidate general ledger data</w:t>
      </w:r>
      <w:r w:rsidR="00770785" w:rsidRPr="000A7FD1">
        <w:t>.</w:t>
      </w:r>
      <w:r w:rsidRPr="000A7FD1">
        <w:t xml:space="preserve"> </w:t>
      </w:r>
    </w:p>
    <w:p w14:paraId="513A5537" w14:textId="77777777" w:rsidR="003A44C9" w:rsidRPr="000A7FD1" w:rsidRDefault="003A44C9" w:rsidP="00F44F0E">
      <w:pPr>
        <w:pStyle w:val="FAM-Continuation1"/>
        <w:ind w:left="1800"/>
      </w:pPr>
      <w:r w:rsidRPr="000A7FD1">
        <w:t>As part of evaluating the period-end financial reporting process, the auditor</w:t>
      </w:r>
      <w:r w:rsidR="009317DB" w:rsidRPr="000A7FD1">
        <w:t xml:space="preserve"> </w:t>
      </w:r>
      <w:r w:rsidRPr="000A7FD1">
        <w:t>should assess</w:t>
      </w:r>
    </w:p>
    <w:p w14:paraId="45E3F1EE" w14:textId="77777777" w:rsidR="003A44C9" w:rsidRPr="000A7FD1" w:rsidRDefault="003A44C9" w:rsidP="00F44F0E">
      <w:pPr>
        <w:pStyle w:val="FAM-Bullet-1"/>
        <w:numPr>
          <w:ilvl w:val="1"/>
          <w:numId w:val="2"/>
        </w:numPr>
        <w:tabs>
          <w:tab w:val="clear" w:pos="1440"/>
        </w:tabs>
        <w:ind w:left="2160"/>
      </w:pPr>
      <w:r w:rsidRPr="000A7FD1">
        <w:t>the inputs, procedures performed, and outputs of the processes the entity uses to produce its financial statements;</w:t>
      </w:r>
    </w:p>
    <w:p w14:paraId="54C504DC" w14:textId="5EB5A950" w:rsidR="003A44C9" w:rsidRPr="000A7FD1" w:rsidRDefault="003A44C9" w:rsidP="00F44F0E">
      <w:pPr>
        <w:pStyle w:val="FAM-Bullet-1"/>
        <w:numPr>
          <w:ilvl w:val="1"/>
          <w:numId w:val="2"/>
        </w:numPr>
        <w:tabs>
          <w:tab w:val="clear" w:pos="1440"/>
        </w:tabs>
        <w:ind w:left="2160"/>
      </w:pPr>
      <w:r w:rsidRPr="000A7FD1">
        <w:t>the extent of</w:t>
      </w:r>
      <w:r w:rsidR="00887CBB" w:rsidRPr="000A7FD1">
        <w:t xml:space="preserve"> information system processing</w:t>
      </w:r>
      <w:r w:rsidRPr="000A7FD1">
        <w:t xml:space="preserve"> in the period-end financial reporting process;</w:t>
      </w:r>
    </w:p>
    <w:p w14:paraId="25585E1D" w14:textId="77777777" w:rsidR="003A44C9" w:rsidRPr="000A7FD1" w:rsidRDefault="003A44C9" w:rsidP="00F44F0E">
      <w:pPr>
        <w:pStyle w:val="FAM-Bullet-1"/>
        <w:numPr>
          <w:ilvl w:val="1"/>
          <w:numId w:val="2"/>
        </w:numPr>
        <w:tabs>
          <w:tab w:val="clear" w:pos="1440"/>
        </w:tabs>
        <w:ind w:left="2160"/>
      </w:pPr>
      <w:r w:rsidRPr="000A7FD1">
        <w:t>who participates from management;</w:t>
      </w:r>
    </w:p>
    <w:p w14:paraId="4A1F517B" w14:textId="77777777" w:rsidR="003A44C9" w:rsidRPr="000A7FD1" w:rsidRDefault="003A44C9" w:rsidP="00F44F0E">
      <w:pPr>
        <w:pStyle w:val="FAM-Bullet-1"/>
        <w:numPr>
          <w:ilvl w:val="1"/>
          <w:numId w:val="2"/>
        </w:numPr>
        <w:tabs>
          <w:tab w:val="clear" w:pos="1440"/>
        </w:tabs>
        <w:ind w:left="2160"/>
      </w:pPr>
      <w:r w:rsidRPr="000A7FD1">
        <w:t>the locations involved in the period-end financial reporting process;</w:t>
      </w:r>
    </w:p>
    <w:p w14:paraId="2E85B872" w14:textId="77777777" w:rsidR="003A44C9" w:rsidRPr="000A7FD1" w:rsidRDefault="003A44C9" w:rsidP="00F44F0E">
      <w:pPr>
        <w:pStyle w:val="FAM-Bullet-1"/>
        <w:numPr>
          <w:ilvl w:val="1"/>
          <w:numId w:val="2"/>
        </w:numPr>
        <w:tabs>
          <w:tab w:val="clear" w:pos="1440"/>
        </w:tabs>
        <w:ind w:left="2160"/>
      </w:pPr>
      <w:r w:rsidRPr="000A7FD1">
        <w:t>the types of adjusting and consolidating entries; and</w:t>
      </w:r>
    </w:p>
    <w:p w14:paraId="0D418897" w14:textId="267A0170" w:rsidR="00F44F0E" w:rsidRPr="000A7FD1" w:rsidRDefault="003A44C9" w:rsidP="00F44F0E">
      <w:pPr>
        <w:pStyle w:val="FAM-Bullet-1"/>
        <w:numPr>
          <w:ilvl w:val="1"/>
          <w:numId w:val="2"/>
        </w:numPr>
        <w:tabs>
          <w:tab w:val="clear" w:pos="1440"/>
        </w:tabs>
        <w:ind w:left="2160"/>
      </w:pPr>
      <w:r w:rsidRPr="000A7FD1">
        <w:t xml:space="preserve">the nature and extent of the oversight of the process by management and those charged with governance </w:t>
      </w:r>
      <w:r w:rsidR="009317DB" w:rsidRPr="000A7FD1">
        <w:t>(</w:t>
      </w:r>
      <w:r w:rsidR="00216566" w:rsidRPr="000A7FD1">
        <w:t>AU-C 940.25</w:t>
      </w:r>
      <w:r w:rsidR="009317DB" w:rsidRPr="000A7FD1">
        <w:t>).</w:t>
      </w:r>
    </w:p>
    <w:p w14:paraId="6D8822D1" w14:textId="343BD038" w:rsidR="003A44C9" w:rsidRPr="000A7FD1" w:rsidRDefault="003A44C9" w:rsidP="004A102E">
      <w:pPr>
        <w:pStyle w:val="FAM-Subsection"/>
      </w:pPr>
      <w:r w:rsidRPr="000A7FD1">
        <w:t xml:space="preserve">When the auditor is required to report on compliance with FFMIA, the auditor’s understanding of these processes can help the auditor determine whether the financial management systems comply </w:t>
      </w:r>
      <w:r w:rsidR="00C32E29" w:rsidRPr="000A7FD1">
        <w:t xml:space="preserve">substantially </w:t>
      </w:r>
      <w:r w:rsidRPr="000A7FD1">
        <w:t xml:space="preserve">with federal financial management systems requirements, federal accounting standards, and the </w:t>
      </w:r>
      <w:r w:rsidR="00EC4873" w:rsidRPr="000A7FD1">
        <w:rPr>
          <w:i/>
        </w:rPr>
        <w:t>U.S. Standard General Ledger</w:t>
      </w:r>
      <w:r w:rsidR="00EC4873" w:rsidRPr="000A7FD1">
        <w:t xml:space="preserve"> (</w:t>
      </w:r>
      <w:r w:rsidR="00502B31" w:rsidRPr="000A7FD1">
        <w:t>US</w:t>
      </w:r>
      <w:r w:rsidRPr="000A7FD1">
        <w:t>SGL</w:t>
      </w:r>
      <w:r w:rsidR="00EC4873" w:rsidRPr="000A7FD1">
        <w:t>)</w:t>
      </w:r>
      <w:r w:rsidRPr="000A7FD1">
        <w:t xml:space="preserve"> at the transaction level. If the entity is likely to receive an unmodified opinion and to have no identified material weaknesses in internal control, the auditor should test significant information </w:t>
      </w:r>
      <w:r w:rsidR="00EC4873" w:rsidRPr="000A7FD1">
        <w:t xml:space="preserve">that </w:t>
      </w:r>
      <w:r w:rsidRPr="000A7FD1">
        <w:t xml:space="preserve">the entity provides to support its assertion about the substantial compliance of its </w:t>
      </w:r>
      <w:r w:rsidR="00C85503" w:rsidRPr="000A7FD1">
        <w:t xml:space="preserve">financial management </w:t>
      </w:r>
      <w:r w:rsidRPr="000A7FD1">
        <w:t>systems. The auditor may perform this testing in conjunction with control tests</w:t>
      </w:r>
      <w:r w:rsidR="00A723EB" w:rsidRPr="000A7FD1">
        <w:t xml:space="preserve"> </w:t>
      </w:r>
      <w:r w:rsidRPr="000A7FD1">
        <w:t xml:space="preserve">(see FAM 350). </w:t>
      </w:r>
    </w:p>
    <w:p w14:paraId="1AACAF21" w14:textId="3DE426F4" w:rsidR="003A44C9" w:rsidRPr="000A7FD1" w:rsidRDefault="003A44C9" w:rsidP="00F363DF">
      <w:pPr>
        <w:pStyle w:val="StyleHeading3FAM"/>
      </w:pPr>
      <w:r w:rsidRPr="000A7FD1">
        <w:t>Budget Systems</w:t>
      </w:r>
    </w:p>
    <w:p w14:paraId="6DC73A8F" w14:textId="77777777" w:rsidR="003A44C9" w:rsidRPr="000A7FD1" w:rsidRDefault="003A44C9" w:rsidP="004A102E">
      <w:pPr>
        <w:pStyle w:val="FAM-Subsection"/>
      </w:pPr>
      <w:r w:rsidRPr="000A7FD1">
        <w:t>Through discussions with appropriate entity personnel, the auditor should understand and document the design of the entity’s processes for</w:t>
      </w:r>
    </w:p>
    <w:p w14:paraId="0F1E7B49" w14:textId="77777777" w:rsidR="003A44C9" w:rsidRPr="000A7FD1" w:rsidRDefault="003A44C9" w:rsidP="000D1813">
      <w:pPr>
        <w:pStyle w:val="FAM-Bullet-1"/>
        <w:numPr>
          <w:ilvl w:val="0"/>
          <w:numId w:val="49"/>
        </w:numPr>
        <w:ind w:left="1800"/>
      </w:pPr>
      <w:r w:rsidRPr="000A7FD1">
        <w:t>developing and requesting apportionments from OMB;</w:t>
      </w:r>
    </w:p>
    <w:p w14:paraId="1F6C5266" w14:textId="77777777" w:rsidR="003A44C9" w:rsidRPr="000A7FD1" w:rsidRDefault="003A44C9" w:rsidP="000D1813">
      <w:pPr>
        <w:pStyle w:val="FAM-Bullet-1"/>
        <w:numPr>
          <w:ilvl w:val="0"/>
          <w:numId w:val="49"/>
        </w:numPr>
        <w:ind w:left="1800"/>
      </w:pPr>
      <w:r w:rsidRPr="000A7FD1">
        <w:t>establishing and allocating allotments within the entity, including reprogramming of allotments;</w:t>
      </w:r>
    </w:p>
    <w:p w14:paraId="19A1D359" w14:textId="77777777" w:rsidR="003A44C9" w:rsidRPr="000A7FD1" w:rsidRDefault="003A44C9" w:rsidP="000D1813">
      <w:pPr>
        <w:pStyle w:val="FAM-Bullet-1"/>
        <w:numPr>
          <w:ilvl w:val="0"/>
          <w:numId w:val="49"/>
        </w:numPr>
        <w:ind w:left="1800"/>
      </w:pPr>
      <w:r w:rsidRPr="000A7FD1">
        <w:t>establishing and recording commitments, if applicable;</w:t>
      </w:r>
    </w:p>
    <w:p w14:paraId="7035AAF6" w14:textId="3F448FB7" w:rsidR="003A44C9" w:rsidRPr="000A7FD1" w:rsidRDefault="003A44C9" w:rsidP="000D1813">
      <w:pPr>
        <w:pStyle w:val="FAM-Bullet-1"/>
        <w:numPr>
          <w:ilvl w:val="0"/>
          <w:numId w:val="49"/>
        </w:numPr>
        <w:ind w:left="1800"/>
      </w:pPr>
      <w:r w:rsidRPr="000A7FD1">
        <w:t>establishing, recording, and monitoring obligations (</w:t>
      </w:r>
      <w:r w:rsidR="00C16829" w:rsidRPr="000A7FD1">
        <w:t xml:space="preserve">such as </w:t>
      </w:r>
      <w:r w:rsidRPr="000A7FD1">
        <w:t>undelivered orders, which include contracts and purchase orders);</w:t>
      </w:r>
    </w:p>
    <w:p w14:paraId="55EC90F5" w14:textId="77777777" w:rsidR="003A44C9" w:rsidRPr="000A7FD1" w:rsidRDefault="003A44C9" w:rsidP="000D1813">
      <w:pPr>
        <w:pStyle w:val="FAM-Bullet-1"/>
        <w:numPr>
          <w:ilvl w:val="0"/>
          <w:numId w:val="49"/>
        </w:numPr>
        <w:ind w:left="1800"/>
      </w:pPr>
      <w:r w:rsidRPr="000A7FD1">
        <w:t>establishing and recording expended authority (delivered orders);</w:t>
      </w:r>
    </w:p>
    <w:p w14:paraId="6F81EEED" w14:textId="77777777" w:rsidR="003A44C9" w:rsidRPr="000A7FD1" w:rsidRDefault="003A44C9" w:rsidP="000D1813">
      <w:pPr>
        <w:pStyle w:val="FAM-Bullet-1"/>
        <w:numPr>
          <w:ilvl w:val="0"/>
          <w:numId w:val="49"/>
        </w:numPr>
        <w:ind w:left="1800"/>
      </w:pPr>
      <w:r w:rsidRPr="000A7FD1">
        <w:lastRenderedPageBreak/>
        <w:t>establishing and recording outlays;</w:t>
      </w:r>
    </w:p>
    <w:p w14:paraId="66B7F7D3" w14:textId="77777777" w:rsidR="003A44C9" w:rsidRPr="000A7FD1" w:rsidRDefault="003A44C9" w:rsidP="000D1813">
      <w:pPr>
        <w:pStyle w:val="FAM-Bullet-1"/>
        <w:numPr>
          <w:ilvl w:val="0"/>
          <w:numId w:val="49"/>
        </w:numPr>
        <w:ind w:left="1800"/>
      </w:pPr>
      <w:r w:rsidRPr="000A7FD1">
        <w:t>monitoring supplemental appropriations;</w:t>
      </w:r>
    </w:p>
    <w:p w14:paraId="3AAB5210" w14:textId="13EB1168" w:rsidR="003A44C9" w:rsidRPr="000A7FD1" w:rsidRDefault="00E76271" w:rsidP="000D1813">
      <w:pPr>
        <w:pStyle w:val="FAM-Bullet-1"/>
        <w:numPr>
          <w:ilvl w:val="0"/>
          <w:numId w:val="49"/>
        </w:numPr>
        <w:ind w:left="1800"/>
      </w:pPr>
      <w:r w:rsidRPr="000A7FD1">
        <w:t xml:space="preserve">recording </w:t>
      </w:r>
      <w:proofErr w:type="spellStart"/>
      <w:r w:rsidRPr="000A7FD1">
        <w:t>deobligations</w:t>
      </w:r>
      <w:proofErr w:type="spellEnd"/>
      <w:r w:rsidR="00B22C85" w:rsidRPr="000A7FD1">
        <w:t xml:space="preserve"> when the entity </w:t>
      </w:r>
      <w:r w:rsidR="008B10FC" w:rsidRPr="000A7FD1">
        <w:t xml:space="preserve">has made a formal decision to cancel or reduce </w:t>
      </w:r>
      <w:r w:rsidR="00FB5E70" w:rsidRPr="000A7FD1">
        <w:t>an</w:t>
      </w:r>
      <w:r w:rsidR="00DD6B2E" w:rsidRPr="000A7FD1">
        <w:t xml:space="preserve"> </w:t>
      </w:r>
      <w:r w:rsidR="0018672C" w:rsidRPr="000A7FD1">
        <w:t>obligation</w:t>
      </w:r>
      <w:r w:rsidR="008B10FC" w:rsidRPr="000A7FD1">
        <w:t>, supported by any necessary documentation that has been fully executed (e.g.</w:t>
      </w:r>
      <w:r w:rsidR="006C37E2" w:rsidRPr="000A7FD1">
        <w:t>,</w:t>
      </w:r>
      <w:r w:rsidR="008B10FC" w:rsidRPr="000A7FD1">
        <w:t xml:space="preserve"> SF-30 for contract</w:t>
      </w:r>
      <w:r w:rsidR="00DC5970" w:rsidRPr="000A7FD1">
        <w:t xml:space="preserve"> amendments</w:t>
      </w:r>
      <w:r w:rsidR="008B10FC" w:rsidRPr="000A7FD1">
        <w:t>).</w:t>
      </w:r>
      <w:r w:rsidR="00752829" w:rsidRPr="000A7FD1">
        <w:rPr>
          <w:rStyle w:val="CommentReference"/>
        </w:rPr>
        <w:t xml:space="preserve"> </w:t>
      </w:r>
    </w:p>
    <w:p w14:paraId="597805AE" w14:textId="77777777" w:rsidR="003A44C9" w:rsidRPr="000A7FD1" w:rsidRDefault="003A44C9" w:rsidP="000D1813">
      <w:pPr>
        <w:pStyle w:val="FAM-Bullet-1"/>
        <w:numPr>
          <w:ilvl w:val="0"/>
          <w:numId w:val="49"/>
        </w:numPr>
        <w:ind w:left="1800"/>
      </w:pPr>
      <w:r w:rsidRPr="000A7FD1">
        <w:t>recording transactions in and adjustments to expired accounts; and</w:t>
      </w:r>
    </w:p>
    <w:p w14:paraId="6C7EC431" w14:textId="77777777" w:rsidR="003A44C9" w:rsidRPr="000A7FD1" w:rsidRDefault="003A44C9" w:rsidP="000D1813">
      <w:pPr>
        <w:pStyle w:val="FAM-Bullet-1"/>
        <w:numPr>
          <w:ilvl w:val="0"/>
          <w:numId w:val="49"/>
        </w:numPr>
        <w:ind w:left="1800"/>
      </w:pPr>
      <w:r w:rsidRPr="000A7FD1">
        <w:t>monitoring canceled (closed) accounts.</w:t>
      </w:r>
    </w:p>
    <w:p w14:paraId="56397FCA" w14:textId="312A38F2" w:rsidR="003A44C9" w:rsidRPr="000A7FD1" w:rsidRDefault="003A44C9" w:rsidP="00F363DF">
      <w:pPr>
        <w:pStyle w:val="StyleHeading3FAM"/>
      </w:pPr>
      <w:r w:rsidRPr="000A7FD1">
        <w:t>Compliance Systems</w:t>
      </w:r>
    </w:p>
    <w:p w14:paraId="76E8491D" w14:textId="5EA78212" w:rsidR="003A44C9" w:rsidRPr="000A7FD1" w:rsidRDefault="003A44C9" w:rsidP="004A102E">
      <w:pPr>
        <w:pStyle w:val="FAM-Subsection"/>
      </w:pPr>
      <w:r w:rsidRPr="000A7FD1">
        <w:t>The compliance system includes the entity’s policies and procedures to monitor compliance with</w:t>
      </w:r>
      <w:r w:rsidR="00D04B05" w:rsidRPr="000A7FD1">
        <w:t xml:space="preserve"> provisions of</w:t>
      </w:r>
      <w:r w:rsidRPr="000A7FD1">
        <w:t xml:space="preserve"> laws, regulations, contracts, and grant agreements applicable to the entity. Through discussions with appropriate entity personnel, the auditor should understand and document the design of the entity’s process for</w:t>
      </w:r>
    </w:p>
    <w:p w14:paraId="4849CA7B" w14:textId="17C8182C" w:rsidR="003A44C9" w:rsidRPr="000A7FD1" w:rsidRDefault="003A44C9" w:rsidP="000D1813">
      <w:pPr>
        <w:pStyle w:val="FAM-Bullet-1"/>
        <w:numPr>
          <w:ilvl w:val="0"/>
          <w:numId w:val="48"/>
        </w:numPr>
        <w:ind w:left="1800"/>
      </w:pPr>
      <w:r w:rsidRPr="000A7FD1">
        <w:t>identifying and documenting all laws, regulations, contracts, and grant agreements applicable to the entity;</w:t>
      </w:r>
    </w:p>
    <w:p w14:paraId="51E9AEB8" w14:textId="743DDAE4" w:rsidR="003A44C9" w:rsidRPr="000A7FD1" w:rsidRDefault="003A44C9" w:rsidP="000D1813">
      <w:pPr>
        <w:pStyle w:val="FAM-Bullet-1"/>
        <w:numPr>
          <w:ilvl w:val="0"/>
          <w:numId w:val="48"/>
        </w:numPr>
        <w:ind w:left="1800"/>
      </w:pPr>
      <w:r w:rsidRPr="000A7FD1">
        <w:t>monitoring changes in applicable laws, regulations, contracts, and grant agreements and responding on a timely basis;</w:t>
      </w:r>
    </w:p>
    <w:p w14:paraId="0CE0A11D" w14:textId="66F1BC48" w:rsidR="003A44C9" w:rsidRPr="000A7FD1" w:rsidRDefault="003A44C9" w:rsidP="000D1813">
      <w:pPr>
        <w:pStyle w:val="FAM-Bullet-1"/>
        <w:numPr>
          <w:ilvl w:val="0"/>
          <w:numId w:val="48"/>
        </w:numPr>
        <w:ind w:left="1800"/>
      </w:pPr>
      <w:r w:rsidRPr="000A7FD1">
        <w:t xml:space="preserve">establishing policies and procedures for complying with </w:t>
      </w:r>
      <w:r w:rsidR="00905D41" w:rsidRPr="000A7FD1">
        <w:t xml:space="preserve">provisions of </w:t>
      </w:r>
      <w:r w:rsidR="00700DD7" w:rsidRPr="000A7FD1">
        <w:t xml:space="preserve">applicable </w:t>
      </w:r>
      <w:r w:rsidRPr="000A7FD1">
        <w:t>laws, regulations, contracts, and grant agreements and clearly documenting and communicating these policies and procedures to appropriate personnel;</w:t>
      </w:r>
    </w:p>
    <w:p w14:paraId="209187F7" w14:textId="32C48359" w:rsidR="003A44C9" w:rsidRPr="000A7FD1" w:rsidRDefault="003A44C9" w:rsidP="000D1813">
      <w:pPr>
        <w:pStyle w:val="FAM-Bullet-1"/>
        <w:numPr>
          <w:ilvl w:val="0"/>
          <w:numId w:val="48"/>
        </w:numPr>
        <w:ind w:left="1800"/>
      </w:pPr>
      <w:r w:rsidRPr="000A7FD1">
        <w:t>ensuring that an appropriate number of competent individuals at appropriate levels within the entity monitor the entity’s compliance with applicable laws, regulations, contracts, and grant agreements; and</w:t>
      </w:r>
    </w:p>
    <w:p w14:paraId="0A19CB93" w14:textId="59EAA7C4" w:rsidR="003A44C9" w:rsidRPr="000A7FD1" w:rsidRDefault="003A44C9" w:rsidP="000D1813">
      <w:pPr>
        <w:pStyle w:val="FAM-Bullet-1"/>
        <w:numPr>
          <w:ilvl w:val="0"/>
          <w:numId w:val="48"/>
        </w:numPr>
        <w:ind w:left="1800"/>
      </w:pPr>
      <w:r w:rsidRPr="000A7FD1">
        <w:t xml:space="preserve">investigating, resolving, communicating, and reporting any noncompliance with </w:t>
      </w:r>
      <w:r w:rsidR="006E2BCF" w:rsidRPr="000A7FD1">
        <w:t xml:space="preserve">provisions of </w:t>
      </w:r>
      <w:r w:rsidRPr="000A7FD1">
        <w:t>applicable laws, regulations, contracts, and grant agreements.</w:t>
      </w:r>
    </w:p>
    <w:p w14:paraId="1AA38CC3" w14:textId="54293AA5" w:rsidR="003A44C9" w:rsidRPr="000A7FD1" w:rsidRDefault="003A44C9" w:rsidP="00F363DF">
      <w:pPr>
        <w:pStyle w:val="StyleHeading3FAM"/>
      </w:pPr>
      <w:r w:rsidRPr="000A7FD1">
        <w:t xml:space="preserve">Operations Systems </w:t>
      </w:r>
    </w:p>
    <w:p w14:paraId="0F5BDDD3" w14:textId="758CA2FC" w:rsidR="003A44C9" w:rsidRPr="000A7FD1" w:rsidRDefault="003A44C9" w:rsidP="004A102E">
      <w:pPr>
        <w:pStyle w:val="FAM-Subsection"/>
      </w:pPr>
      <w:r w:rsidRPr="000A7FD1">
        <w:t xml:space="preserve">Through discussions with appropriate entity personnel, the auditor should understand and document the design of entity systems in which </w:t>
      </w:r>
      <w:r w:rsidR="00A94B83" w:rsidRPr="000A7FD1">
        <w:t xml:space="preserve">the </w:t>
      </w:r>
      <w:r w:rsidRPr="000A7FD1">
        <w:t>operations controls to be evaluated and tested operate.</w:t>
      </w:r>
      <w:r w:rsidR="007800AA" w:rsidRPr="000A7FD1">
        <w:t xml:space="preserve"> The auditor should test </w:t>
      </w:r>
      <w:r w:rsidR="0000220C" w:rsidRPr="000A7FD1">
        <w:t xml:space="preserve">operations controls relied on in performing financial audit procedures, such as using entity-prepared </w:t>
      </w:r>
      <w:r w:rsidR="007800AA" w:rsidRPr="000A7FD1">
        <w:t>data</w:t>
      </w:r>
      <w:r w:rsidR="0000220C" w:rsidRPr="000A7FD1">
        <w:t xml:space="preserve"> for substantive tests.</w:t>
      </w:r>
      <w:r w:rsidRPr="000A7FD1">
        <w:t xml:space="preserve"> For example, if the auditor intends to evaluate and test an operations control that depends on certain statistical information</w:t>
      </w:r>
      <w:r w:rsidR="0000220C" w:rsidRPr="000A7FD1">
        <w:t xml:space="preserve"> that will be used in a substantive analytical procedure</w:t>
      </w:r>
      <w:r w:rsidRPr="000A7FD1">
        <w:t xml:space="preserve">, the auditor should understand how the statistical information is developed. </w:t>
      </w:r>
      <w:r w:rsidR="0000220C" w:rsidRPr="000A7FD1">
        <w:t>See FAM 275.08</w:t>
      </w:r>
      <w:r w:rsidR="007800AA" w:rsidRPr="000A7FD1">
        <w:t xml:space="preserve"> for examples of the auditor using entity-prepared reports for substantive tests and discussions of tests of related controls over the report data, such as operational controls.</w:t>
      </w:r>
    </w:p>
    <w:p w14:paraId="525997FB" w14:textId="77777777" w:rsidR="00170C59" w:rsidRPr="000A7FD1" w:rsidRDefault="00170C59" w:rsidP="00A6329B">
      <w:pPr>
        <w:sectPr w:rsidR="00170C59" w:rsidRPr="000A7FD1" w:rsidSect="00CE494A">
          <w:headerReference w:type="even" r:id="rId20"/>
          <w:headerReference w:type="default" r:id="rId21"/>
          <w:footerReference w:type="even" r:id="rId22"/>
          <w:footerReference w:type="default" r:id="rId23"/>
          <w:headerReference w:type="first" r:id="rId24"/>
          <w:footerReference w:type="first" r:id="rId25"/>
          <w:endnotePr>
            <w:numFmt w:val="decimal"/>
          </w:endnotePr>
          <w:pgSz w:w="12240" w:h="15840" w:code="1"/>
          <w:pgMar w:top="1080" w:right="1440" w:bottom="1080" w:left="1080" w:header="720" w:footer="720" w:gutter="360"/>
          <w:pgNumType w:start="1"/>
          <w:cols w:space="720"/>
          <w:noEndnote/>
          <w:docGrid w:linePitch="326"/>
        </w:sectPr>
      </w:pPr>
    </w:p>
    <w:p w14:paraId="52285817" w14:textId="77777777" w:rsidR="009A0329" w:rsidRPr="000A7FD1" w:rsidRDefault="009A0329" w:rsidP="00713125">
      <w:pPr>
        <w:pStyle w:val="Heading2FAM"/>
      </w:pPr>
      <w:r w:rsidRPr="000A7FD1">
        <w:lastRenderedPageBreak/>
        <w:t xml:space="preserve">330 </w:t>
      </w:r>
      <w:r w:rsidR="004C25AA" w:rsidRPr="000A7FD1">
        <w:t>–</w:t>
      </w:r>
      <w:r w:rsidRPr="000A7FD1">
        <w:t xml:space="preserve"> Identify Control Objectives</w:t>
      </w:r>
    </w:p>
    <w:p w14:paraId="70C85760" w14:textId="54C0AEB6" w:rsidR="009A0329" w:rsidRPr="000A7FD1" w:rsidRDefault="009A0329" w:rsidP="00CC7A2D">
      <w:pPr>
        <w:pStyle w:val="FAM-Subsection"/>
        <w:numPr>
          <w:ilvl w:val="0"/>
          <w:numId w:val="26"/>
        </w:numPr>
      </w:pPr>
      <w:r w:rsidRPr="000A7FD1">
        <w:t>In designing their systems, entities identify control objectives for each type of control that</w:t>
      </w:r>
      <w:r w:rsidR="00E903DC" w:rsidRPr="000A7FD1">
        <w:t>,</w:t>
      </w:r>
      <w:r w:rsidRPr="000A7FD1">
        <w:t xml:space="preserve"> if achieved</w:t>
      </w:r>
      <w:r w:rsidR="00E903DC" w:rsidRPr="000A7FD1">
        <w:t>,</w:t>
      </w:r>
      <w:r w:rsidRPr="000A7FD1">
        <w:t xml:space="preserve"> would provide the entity with reasonable assurance that individual and aggregate misstatements (whether caused by error or fraud), losses, or noncompliance material to the financial statements would be prevented, or detected and corrected. For social insurance and nonmonetary information in the financial statements, such as physical units of heritage assets, the objectives would relate to controls that would provide reasonable assurance that misstatements, losses, or noncompliance that would be considered material by users of the information would be prevented, or detected and corrected. These control objectives </w:t>
      </w:r>
      <w:r w:rsidR="000E3B9A" w:rsidRPr="000A7FD1">
        <w:t>can be classified as follows</w:t>
      </w:r>
      <w:r w:rsidRPr="000A7FD1">
        <w:t>:</w:t>
      </w:r>
    </w:p>
    <w:p w14:paraId="50CCE2BA" w14:textId="58FE56DB" w:rsidR="009A0329" w:rsidRPr="000A7FD1" w:rsidRDefault="009A0329" w:rsidP="000D1813">
      <w:pPr>
        <w:pStyle w:val="FAM-Bullet-1"/>
        <w:numPr>
          <w:ilvl w:val="0"/>
          <w:numId w:val="46"/>
        </w:numPr>
        <w:ind w:left="1800"/>
      </w:pPr>
      <w:r w:rsidRPr="000A7FD1">
        <w:rPr>
          <w:b/>
        </w:rPr>
        <w:t xml:space="preserve">Financial reporting controls </w:t>
      </w:r>
      <w:r w:rsidRPr="000A7FD1">
        <w:t xml:space="preserve">to prevent, or detect and correct, misstatements in </w:t>
      </w:r>
      <w:r w:rsidR="00FF26DD" w:rsidRPr="000A7FD1">
        <w:t xml:space="preserve">the </w:t>
      </w:r>
      <w:r w:rsidRPr="000A7FD1">
        <w:t>financial statement</w:t>
      </w:r>
      <w:r w:rsidR="00FF26DD" w:rsidRPr="000A7FD1">
        <w:t>s</w:t>
      </w:r>
      <w:r w:rsidRPr="000A7FD1">
        <w:t xml:space="preserve">. These include </w:t>
      </w:r>
      <w:r w:rsidRPr="000A7FD1">
        <w:rPr>
          <w:b/>
        </w:rPr>
        <w:t xml:space="preserve">safeguarding controls </w:t>
      </w:r>
      <w:r w:rsidRPr="000A7FD1">
        <w:t>to safeguard assets against loss from unauthorized acquisition, use, or disposition</w:t>
      </w:r>
      <w:r w:rsidRPr="000A7FD1">
        <w:rPr>
          <w:b/>
        </w:rPr>
        <w:t xml:space="preserve"> </w:t>
      </w:r>
      <w:r w:rsidRPr="000A7FD1">
        <w:t xml:space="preserve">and </w:t>
      </w:r>
      <w:r w:rsidRPr="000A7FD1">
        <w:rPr>
          <w:b/>
        </w:rPr>
        <w:t xml:space="preserve">segregation-of-duties controls </w:t>
      </w:r>
      <w:r w:rsidRPr="000A7FD1">
        <w:t>to prevent one person from controlling multiple aspects of a transaction</w:t>
      </w:r>
      <w:r w:rsidR="00F600FB" w:rsidRPr="000A7FD1">
        <w:t>,</w:t>
      </w:r>
      <w:r w:rsidRPr="000A7FD1">
        <w:t xml:space="preserve"> allowing that person to both cause and conceal misstatements whether </w:t>
      </w:r>
      <w:r w:rsidR="008458E3" w:rsidRPr="000A7FD1">
        <w:t xml:space="preserve">due to </w:t>
      </w:r>
      <w:r w:rsidRPr="000A7FD1">
        <w:t>error or fraud.</w:t>
      </w:r>
    </w:p>
    <w:p w14:paraId="5F22E64A" w14:textId="154411B0" w:rsidR="009A0329" w:rsidRPr="000A7FD1" w:rsidRDefault="009A0329" w:rsidP="000D1813">
      <w:pPr>
        <w:pStyle w:val="FAM-Bullet-1"/>
        <w:numPr>
          <w:ilvl w:val="0"/>
          <w:numId w:val="46"/>
        </w:numPr>
        <w:ind w:left="1800"/>
      </w:pPr>
      <w:r w:rsidRPr="000A7FD1">
        <w:rPr>
          <w:b/>
        </w:rPr>
        <w:t xml:space="preserve">Budget controls </w:t>
      </w:r>
      <w:r w:rsidRPr="000A7FD1">
        <w:t xml:space="preserve">to </w:t>
      </w:r>
      <w:r w:rsidR="00241AB4" w:rsidRPr="000A7FD1">
        <w:t xml:space="preserve">provide reasonable assurance that the entity (1) properly records, processes, and summarizes transactions to permit the preparation of the statement of budgetary resources and reconciliation of net cost to </w:t>
      </w:r>
      <w:r w:rsidR="00D951BB" w:rsidRPr="000A7FD1">
        <w:t>net outlays</w:t>
      </w:r>
      <w:r w:rsidR="002B3D5C" w:rsidRPr="000A7FD1">
        <w:rPr>
          <w:rStyle w:val="FootnoteReference"/>
        </w:rPr>
        <w:footnoteReference w:id="4"/>
      </w:r>
      <w:r w:rsidR="00D951BB" w:rsidRPr="000A7FD1">
        <w:t xml:space="preserve"> </w:t>
      </w:r>
      <w:r w:rsidR="00241AB4" w:rsidRPr="000A7FD1">
        <w:t>in accordance with U.S.</w:t>
      </w:r>
      <w:r w:rsidR="00F600FB" w:rsidRPr="000A7FD1">
        <w:t xml:space="preserve"> </w:t>
      </w:r>
      <w:r w:rsidR="00241AB4" w:rsidRPr="000A7FD1">
        <w:t xml:space="preserve">GAAP and (2) </w:t>
      </w:r>
      <w:r w:rsidRPr="000A7FD1">
        <w:t>execute</w:t>
      </w:r>
      <w:r w:rsidR="00241AB4" w:rsidRPr="000A7FD1">
        <w:t>s</w:t>
      </w:r>
      <w:r w:rsidRPr="000A7FD1">
        <w:t xml:space="preserve"> transactions in accordance with budget authority.</w:t>
      </w:r>
    </w:p>
    <w:p w14:paraId="58E9943A" w14:textId="77777777" w:rsidR="009A0329" w:rsidRPr="000A7FD1" w:rsidRDefault="009A0329" w:rsidP="000D1813">
      <w:pPr>
        <w:pStyle w:val="FAM-Bullet-1"/>
        <w:numPr>
          <w:ilvl w:val="0"/>
          <w:numId w:val="46"/>
        </w:numPr>
        <w:ind w:left="1800"/>
      </w:pPr>
      <w:r w:rsidRPr="000A7FD1">
        <w:rPr>
          <w:b/>
        </w:rPr>
        <w:t>Compliance controls</w:t>
      </w:r>
      <w:r w:rsidRPr="000A7FD1">
        <w:t xml:space="preserve"> to comply with significant provisions of applicable laws, regulations, contracts, and grant agreements.</w:t>
      </w:r>
    </w:p>
    <w:p w14:paraId="13E84BC4" w14:textId="77777777" w:rsidR="009A0329" w:rsidRPr="000A7FD1" w:rsidRDefault="009A0329" w:rsidP="000D1813">
      <w:pPr>
        <w:pStyle w:val="FAM-Bullet-1"/>
        <w:numPr>
          <w:ilvl w:val="0"/>
          <w:numId w:val="46"/>
        </w:numPr>
        <w:ind w:left="1800"/>
      </w:pPr>
      <w:r w:rsidRPr="000A7FD1">
        <w:rPr>
          <w:b/>
        </w:rPr>
        <w:t>Operations controls</w:t>
      </w:r>
      <w:r w:rsidRPr="000A7FD1">
        <w:t xml:space="preserve"> to achieve the performance desired by management for planning, productivity, quality, economy, efficiency, or effectiveness of the </w:t>
      </w:r>
      <w:r w:rsidR="00F600FB" w:rsidRPr="000A7FD1">
        <w:t xml:space="preserve">entity’s </w:t>
      </w:r>
      <w:r w:rsidRPr="000A7FD1">
        <w:t xml:space="preserve">operations. </w:t>
      </w:r>
    </w:p>
    <w:p w14:paraId="51AF57BF" w14:textId="369C6456" w:rsidR="009A0329" w:rsidRPr="000A7FD1" w:rsidRDefault="00A40D26" w:rsidP="003E49DB">
      <w:pPr>
        <w:pStyle w:val="FAM-Continuation1"/>
      </w:pPr>
      <w:r w:rsidRPr="000A7FD1">
        <w:t>This section</w:t>
      </w:r>
      <w:r w:rsidR="009A0329" w:rsidRPr="000A7FD1">
        <w:t xml:space="preserve"> </w:t>
      </w:r>
      <w:r w:rsidR="00365683" w:rsidRPr="000A7FD1">
        <w:t>describes</w:t>
      </w:r>
      <w:r w:rsidR="009A0329" w:rsidRPr="000A7FD1">
        <w:t xml:space="preserve"> the process for identifying control objectives.</w:t>
      </w:r>
    </w:p>
    <w:p w14:paraId="4EC62768" w14:textId="77777777" w:rsidR="009A0329" w:rsidRPr="000A7FD1" w:rsidRDefault="009A0329" w:rsidP="00F363DF">
      <w:pPr>
        <w:pStyle w:val="StyleHeading3FAM"/>
      </w:pPr>
      <w:r w:rsidRPr="000A7FD1">
        <w:t>Financial Reporting Controls</w:t>
      </w:r>
    </w:p>
    <w:p w14:paraId="22E2A5A3" w14:textId="6C800C40" w:rsidR="009A0329" w:rsidRPr="000A7FD1" w:rsidRDefault="009A0329" w:rsidP="004A102E">
      <w:pPr>
        <w:pStyle w:val="FAM-Subsection"/>
      </w:pPr>
      <w:r w:rsidRPr="000A7FD1">
        <w:t xml:space="preserve">The auditor should test </w:t>
      </w:r>
      <w:r w:rsidR="00975A2E" w:rsidRPr="000A7FD1">
        <w:t xml:space="preserve">relevant </w:t>
      </w:r>
      <w:r w:rsidRPr="000A7FD1">
        <w:rPr>
          <w:b/>
        </w:rPr>
        <w:t>financial reporting controls</w:t>
      </w:r>
      <w:r w:rsidRPr="000A7FD1">
        <w:t xml:space="preserve"> for each </w:t>
      </w:r>
      <w:r w:rsidR="004C2A65" w:rsidRPr="000A7FD1">
        <w:t xml:space="preserve">material </w:t>
      </w:r>
      <w:r w:rsidRPr="000A7FD1">
        <w:t>line item</w:t>
      </w:r>
      <w:r w:rsidR="004C2A65" w:rsidRPr="000A7FD1">
        <w:t>,</w:t>
      </w:r>
      <w:r w:rsidRPr="000A7FD1">
        <w:t xml:space="preserve"> account,</w:t>
      </w:r>
      <w:r w:rsidR="004C2A65" w:rsidRPr="000A7FD1">
        <w:t xml:space="preserve"> note disclosure, </w:t>
      </w:r>
      <w:r w:rsidR="00E64EF6" w:rsidRPr="000A7FD1">
        <w:t>and</w:t>
      </w:r>
      <w:r w:rsidR="004C2A65" w:rsidRPr="000A7FD1">
        <w:t xml:space="preserve"> class of transaction</w:t>
      </w:r>
      <w:r w:rsidR="00DA5645" w:rsidRPr="000A7FD1">
        <w:t>s</w:t>
      </w:r>
      <w:r w:rsidRPr="000A7FD1">
        <w:t xml:space="preserve"> </w:t>
      </w:r>
      <w:r w:rsidR="00C96DB2" w:rsidRPr="000A7FD1">
        <w:t>(see FAM 235)</w:t>
      </w:r>
      <w:r w:rsidR="00092484" w:rsidRPr="000A7FD1">
        <w:t>,</w:t>
      </w:r>
      <w:r w:rsidRPr="000A7FD1">
        <w:t xml:space="preserve"> if the auditor has determined that controls have been implemented. The first step in </w:t>
      </w:r>
      <w:r w:rsidR="004C324D" w:rsidRPr="000A7FD1">
        <w:t xml:space="preserve">identifying </w:t>
      </w:r>
      <w:r w:rsidRPr="000A7FD1">
        <w:t>control objectives for financial reporting controls is to consider the</w:t>
      </w:r>
      <w:r w:rsidR="001557FD" w:rsidRPr="000A7FD1">
        <w:t xml:space="preserve"> identified</w:t>
      </w:r>
      <w:r w:rsidRPr="000A7FD1">
        <w:t xml:space="preserve"> </w:t>
      </w:r>
      <w:r w:rsidR="00C70B46" w:rsidRPr="000A7FD1">
        <w:t>risks of material</w:t>
      </w:r>
      <w:r w:rsidRPr="000A7FD1">
        <w:t xml:space="preserve"> misstatement </w:t>
      </w:r>
      <w:r w:rsidR="001557FD" w:rsidRPr="000A7FD1">
        <w:t xml:space="preserve">at the </w:t>
      </w:r>
      <w:r w:rsidRPr="000A7FD1">
        <w:t>assertion</w:t>
      </w:r>
      <w:r w:rsidR="001557FD" w:rsidRPr="000A7FD1">
        <w:t xml:space="preserve"> level </w:t>
      </w:r>
      <w:r w:rsidR="0008207C" w:rsidRPr="000A7FD1">
        <w:t>for which inherent risk is more than remote</w:t>
      </w:r>
      <w:r w:rsidR="00947DCF" w:rsidRPr="000A7FD1">
        <w:t xml:space="preserve"> for</w:t>
      </w:r>
      <w:r w:rsidRPr="000A7FD1">
        <w:t xml:space="preserve"> each </w:t>
      </w:r>
      <w:r w:rsidR="00DC59DF" w:rsidRPr="000A7FD1">
        <w:t xml:space="preserve">material </w:t>
      </w:r>
      <w:r w:rsidRPr="000A7FD1">
        <w:t>line item</w:t>
      </w:r>
      <w:r w:rsidR="00DC59DF" w:rsidRPr="000A7FD1">
        <w:t>,</w:t>
      </w:r>
      <w:r w:rsidRPr="000A7FD1">
        <w:t xml:space="preserve"> account</w:t>
      </w:r>
      <w:r w:rsidR="00DC59DF" w:rsidRPr="000A7FD1">
        <w:t>, note disclosure, and class of transactions</w:t>
      </w:r>
      <w:r w:rsidRPr="000A7FD1">
        <w:t xml:space="preserve">. </w:t>
      </w:r>
      <w:r w:rsidR="00157871" w:rsidRPr="000A7FD1">
        <w:t>The auditor may identify multiple types of potential misstatements in an assertion</w:t>
      </w:r>
      <w:r w:rsidR="00947DCF" w:rsidRPr="000A7FD1">
        <w:t>. S</w:t>
      </w:r>
      <w:r w:rsidR="00157871" w:rsidRPr="000A7FD1">
        <w:t>ome types of potential misstatements may affect only a portion or component of a line item, account, note disclosure, or class of transactions (see FAM 265).</w:t>
      </w:r>
      <w:r w:rsidRPr="000A7FD1">
        <w:t xml:space="preserve"> For example, for the existence or occurrence assertion, </w:t>
      </w:r>
      <w:r w:rsidR="002852AC" w:rsidRPr="000A7FD1">
        <w:t xml:space="preserve">risks of material </w:t>
      </w:r>
      <w:r w:rsidRPr="000A7FD1">
        <w:t xml:space="preserve">misstatement </w:t>
      </w:r>
      <w:r w:rsidR="00C70B46" w:rsidRPr="000A7FD1">
        <w:t>might</w:t>
      </w:r>
      <w:r w:rsidR="002852AC" w:rsidRPr="000A7FD1">
        <w:t xml:space="preserve"> be identified</w:t>
      </w:r>
      <w:r w:rsidRPr="000A7FD1">
        <w:t xml:space="preserve"> in four areas.</w:t>
      </w:r>
    </w:p>
    <w:p w14:paraId="6BF9246C" w14:textId="575B7F1D" w:rsidR="009A0329" w:rsidRPr="000A7FD1" w:rsidRDefault="009A0329" w:rsidP="000D1813">
      <w:pPr>
        <w:pStyle w:val="FAM-Bullet-1"/>
        <w:numPr>
          <w:ilvl w:val="0"/>
          <w:numId w:val="47"/>
        </w:numPr>
        <w:ind w:left="1800"/>
      </w:pPr>
      <w:r w:rsidRPr="000A7FD1">
        <w:rPr>
          <w:b/>
        </w:rPr>
        <w:t>Occurrence/validity:</w:t>
      </w:r>
      <w:r w:rsidRPr="000A7FD1">
        <w:t xml:space="preserve"> Recorded transactions and events </w:t>
      </w:r>
      <w:r w:rsidR="00C47B1D" w:rsidRPr="000A7FD1">
        <w:t xml:space="preserve">did not </w:t>
      </w:r>
      <w:r w:rsidRPr="000A7FD1">
        <w:t xml:space="preserve">actually </w:t>
      </w:r>
      <w:r w:rsidRPr="000A7FD1">
        <w:lastRenderedPageBreak/>
        <w:t xml:space="preserve">occur </w:t>
      </w:r>
      <w:r w:rsidR="00C47B1D" w:rsidRPr="000A7FD1">
        <w:t xml:space="preserve">or do not </w:t>
      </w:r>
      <w:r w:rsidRPr="000A7FD1">
        <w:t>pertain to the entity.</w:t>
      </w:r>
    </w:p>
    <w:p w14:paraId="4FF724A4" w14:textId="6C28608A" w:rsidR="009A0329" w:rsidRPr="000A7FD1" w:rsidRDefault="009A0329" w:rsidP="000D1813">
      <w:pPr>
        <w:pStyle w:val="FAM-Bullet-1"/>
        <w:numPr>
          <w:ilvl w:val="0"/>
          <w:numId w:val="47"/>
        </w:numPr>
        <w:ind w:left="1800"/>
      </w:pPr>
      <w:r w:rsidRPr="000A7FD1">
        <w:rPr>
          <w:b/>
        </w:rPr>
        <w:t>Cutoff:</w:t>
      </w:r>
      <w:r w:rsidRPr="000A7FD1">
        <w:t xml:space="preserve"> Transactions </w:t>
      </w:r>
      <w:r w:rsidR="00C47B1D" w:rsidRPr="000A7FD1">
        <w:t xml:space="preserve">and events </w:t>
      </w:r>
      <w:r w:rsidRPr="000A7FD1">
        <w:t>are recorded in the current period, but occurred in a different period.</w:t>
      </w:r>
    </w:p>
    <w:p w14:paraId="57458683" w14:textId="77777777" w:rsidR="009A0329" w:rsidRPr="000A7FD1" w:rsidRDefault="009A0329" w:rsidP="000D1813">
      <w:pPr>
        <w:pStyle w:val="FAM-Bullet-1"/>
        <w:numPr>
          <w:ilvl w:val="0"/>
          <w:numId w:val="47"/>
        </w:numPr>
        <w:ind w:left="1800"/>
      </w:pPr>
      <w:r w:rsidRPr="000A7FD1">
        <w:rPr>
          <w:b/>
        </w:rPr>
        <w:t>Summarization:</w:t>
      </w:r>
      <w:r w:rsidRPr="000A7FD1">
        <w:t xml:space="preserve"> Transactions are summarized improperly, resulting in an overstated total.</w:t>
      </w:r>
    </w:p>
    <w:p w14:paraId="21462EC0" w14:textId="1E4B2766" w:rsidR="009A0329" w:rsidRPr="000A7FD1" w:rsidRDefault="00A84A34" w:rsidP="000D1813">
      <w:pPr>
        <w:pStyle w:val="FAM-Bullet-1"/>
        <w:numPr>
          <w:ilvl w:val="0"/>
          <w:numId w:val="47"/>
        </w:numPr>
        <w:ind w:left="1800"/>
      </w:pPr>
      <w:r w:rsidRPr="000A7FD1">
        <w:rPr>
          <w:b/>
        </w:rPr>
        <w:t>Existence</w:t>
      </w:r>
      <w:r w:rsidR="009A0329" w:rsidRPr="000A7FD1">
        <w:rPr>
          <w:b/>
        </w:rPr>
        <w:t>:</w:t>
      </w:r>
      <w:r w:rsidR="009A0329" w:rsidRPr="000A7FD1">
        <w:t xml:space="preserve"> Recorded assets</w:t>
      </w:r>
      <w:r w:rsidR="00C47B1D" w:rsidRPr="000A7FD1">
        <w:t xml:space="preserve">, </w:t>
      </w:r>
      <w:r w:rsidR="009A0329" w:rsidRPr="000A7FD1">
        <w:t>liabilities</w:t>
      </w:r>
      <w:r w:rsidR="00C47B1D" w:rsidRPr="000A7FD1">
        <w:t>, net position, and budgetary balances</w:t>
      </w:r>
      <w:r w:rsidR="009A0329" w:rsidRPr="000A7FD1">
        <w:t xml:space="preserve"> do not exist at a given date.</w:t>
      </w:r>
      <w:r w:rsidR="00C47B1D" w:rsidRPr="000A7FD1">
        <w:t xml:space="preserve"> </w:t>
      </w:r>
      <w:r w:rsidR="00C47B1D" w:rsidRPr="000A7FD1">
        <w:rPr>
          <w:szCs w:val="20"/>
        </w:rPr>
        <w:t>Projected revenues or expenditures in the sustainability financial statements are not valid.</w:t>
      </w:r>
    </w:p>
    <w:p w14:paraId="1C7C4974" w14:textId="7A64E625" w:rsidR="009A0329" w:rsidRPr="000A7FD1" w:rsidRDefault="009A0329" w:rsidP="004A102E">
      <w:pPr>
        <w:pStyle w:val="FAM-Continuation1"/>
      </w:pPr>
      <w:r w:rsidRPr="000A7FD1">
        <w:t>For each</w:t>
      </w:r>
      <w:r w:rsidR="00CA2913" w:rsidRPr="000A7FD1">
        <w:t xml:space="preserve"> identified</w:t>
      </w:r>
      <w:r w:rsidRPr="000A7FD1">
        <w:t xml:space="preserve"> </w:t>
      </w:r>
      <w:r w:rsidR="00CA2913" w:rsidRPr="000A7FD1">
        <w:t xml:space="preserve">risk of material </w:t>
      </w:r>
      <w:r w:rsidRPr="000A7FD1">
        <w:t xml:space="preserve">misstatement </w:t>
      </w:r>
      <w:r w:rsidR="001557FD" w:rsidRPr="000A7FD1">
        <w:t>at the</w:t>
      </w:r>
      <w:r w:rsidRPr="000A7FD1">
        <w:t xml:space="preserve"> assertion</w:t>
      </w:r>
      <w:r w:rsidR="001557FD" w:rsidRPr="000A7FD1">
        <w:t xml:space="preserve"> level</w:t>
      </w:r>
      <w:r w:rsidRPr="000A7FD1">
        <w:t xml:space="preserve"> </w:t>
      </w:r>
      <w:r w:rsidR="00DC59DF" w:rsidRPr="000A7FD1">
        <w:t xml:space="preserve">for which inherent risk is more than remote, </w:t>
      </w:r>
      <w:r w:rsidRPr="000A7FD1">
        <w:t xml:space="preserve">there </w:t>
      </w:r>
      <w:r w:rsidR="00947DCF" w:rsidRPr="000A7FD1">
        <w:t xml:space="preserve">is </w:t>
      </w:r>
      <w:r w:rsidRPr="000A7FD1">
        <w:t>one or more control objectives that</w:t>
      </w:r>
      <w:r w:rsidR="00E87E35" w:rsidRPr="000A7FD1">
        <w:t>,</w:t>
      </w:r>
      <w:r w:rsidRPr="000A7FD1">
        <w:t xml:space="preserve"> if achieved</w:t>
      </w:r>
      <w:r w:rsidR="00E87E35" w:rsidRPr="000A7FD1">
        <w:t>,</w:t>
      </w:r>
      <w:r w:rsidRPr="000A7FD1">
        <w:t xml:space="preserve"> would prevent, or detect and correct, the potential misstatement. These control objectives provide the auditor with the primary basis for assessing the effectiveness of an entity’s control activities.</w:t>
      </w:r>
      <w:r w:rsidR="00176808" w:rsidRPr="000A7FD1">
        <w:t xml:space="preserve"> See FAM 395 B for a list of potential misstatements that could occur in each assertion and the related control objectives.</w:t>
      </w:r>
    </w:p>
    <w:p w14:paraId="270A7140" w14:textId="0D310F74" w:rsidR="009D3A43" w:rsidRPr="000A7FD1" w:rsidRDefault="00426DB2" w:rsidP="000E1850">
      <w:pPr>
        <w:pStyle w:val="FAMSubsection"/>
      </w:pPr>
      <w:r w:rsidRPr="000A7FD1">
        <w:t xml:space="preserve">As </w:t>
      </w:r>
      <w:r w:rsidR="009A0329" w:rsidRPr="000A7FD1">
        <w:t xml:space="preserve">discussed in FAM </w:t>
      </w:r>
      <w:r w:rsidR="009C3B2F" w:rsidRPr="000A7FD1">
        <w:t>235</w:t>
      </w:r>
      <w:r w:rsidR="009A0329" w:rsidRPr="000A7FD1">
        <w:t xml:space="preserve">, the auditor identifies the </w:t>
      </w:r>
      <w:r w:rsidR="009C3B2F" w:rsidRPr="000A7FD1">
        <w:t>material classes of transactions</w:t>
      </w:r>
      <w:r w:rsidR="00C977A7" w:rsidRPr="000A7FD1">
        <w:t xml:space="preserve"> </w:t>
      </w:r>
      <w:r w:rsidR="009A0329" w:rsidRPr="000A7FD1">
        <w:t xml:space="preserve">that provide </w:t>
      </w:r>
      <w:r w:rsidR="00F048B8" w:rsidRPr="000A7FD1">
        <w:t>input</w:t>
      </w:r>
      <w:r w:rsidR="009A0329" w:rsidRPr="000A7FD1">
        <w:t xml:space="preserve"> </w:t>
      </w:r>
      <w:r w:rsidR="00F048B8" w:rsidRPr="000A7FD1">
        <w:t xml:space="preserve">for </w:t>
      </w:r>
      <w:r w:rsidR="003A037D" w:rsidRPr="000A7FD1">
        <w:t xml:space="preserve">or support </w:t>
      </w:r>
      <w:r w:rsidR="009A0329" w:rsidRPr="000A7FD1">
        <w:t xml:space="preserve">each </w:t>
      </w:r>
      <w:r w:rsidR="009C3B2F" w:rsidRPr="000A7FD1">
        <w:t xml:space="preserve">material </w:t>
      </w:r>
      <w:r w:rsidR="009A0329" w:rsidRPr="000A7FD1">
        <w:t>line item</w:t>
      </w:r>
      <w:r w:rsidR="009C3B2F" w:rsidRPr="000A7FD1">
        <w:t>,</w:t>
      </w:r>
      <w:r w:rsidR="009A0329" w:rsidRPr="000A7FD1">
        <w:t xml:space="preserve"> account</w:t>
      </w:r>
      <w:r w:rsidR="009C3B2F" w:rsidRPr="000A7FD1">
        <w:t>, and note disclosure</w:t>
      </w:r>
      <w:r w:rsidR="009A0329" w:rsidRPr="000A7FD1">
        <w:t xml:space="preserve">. </w:t>
      </w:r>
      <w:r w:rsidR="009C3B2F" w:rsidRPr="000A7FD1">
        <w:t>Classes of trans</w:t>
      </w:r>
      <w:r w:rsidR="0097105C" w:rsidRPr="000A7FD1">
        <w:t>a</w:t>
      </w:r>
      <w:r w:rsidR="009C3B2F" w:rsidRPr="000A7FD1">
        <w:t>ctions</w:t>
      </w:r>
      <w:r w:rsidR="00C53856" w:rsidRPr="000A7FD1">
        <w:t xml:space="preserve"> are classified as (1) transaction</w:t>
      </w:r>
      <w:r w:rsidR="00DD19BA" w:rsidRPr="000A7FD1">
        <w:t xml:space="preserve"> </w:t>
      </w:r>
      <w:r w:rsidR="00C53856" w:rsidRPr="000A7FD1">
        <w:t>related or (2) line item/account</w:t>
      </w:r>
      <w:r w:rsidR="00DD19BA" w:rsidRPr="000A7FD1">
        <w:t xml:space="preserve"> </w:t>
      </w:r>
      <w:r w:rsidR="00C53856" w:rsidRPr="000A7FD1">
        <w:t xml:space="preserve">related. </w:t>
      </w:r>
    </w:p>
    <w:p w14:paraId="79D01BA4" w14:textId="5ABF8627" w:rsidR="009D3A43" w:rsidRPr="000A7FD1" w:rsidRDefault="0097105C" w:rsidP="000D1813">
      <w:pPr>
        <w:pStyle w:val="FAMSubsection"/>
        <w:numPr>
          <w:ilvl w:val="0"/>
          <w:numId w:val="79"/>
        </w:numPr>
        <w:ind w:left="1800"/>
      </w:pPr>
      <w:r w:rsidRPr="000A7FD1">
        <w:t xml:space="preserve">Transaction-related classes of transactions </w:t>
      </w:r>
      <w:r w:rsidR="00426DB2" w:rsidRPr="000A7FD1">
        <w:t xml:space="preserve">are the activities </w:t>
      </w:r>
      <w:r w:rsidR="00F048B8" w:rsidRPr="000A7FD1">
        <w:t>and</w:t>
      </w:r>
      <w:r w:rsidR="00E00846" w:rsidRPr="000A7FD1">
        <w:t xml:space="preserve"> events </w:t>
      </w:r>
      <w:r w:rsidR="00426DB2" w:rsidRPr="000A7FD1">
        <w:t xml:space="preserve">that </w:t>
      </w:r>
      <w:r w:rsidRPr="000A7FD1">
        <w:t xml:space="preserve">occur during the period under audit </w:t>
      </w:r>
      <w:r w:rsidR="00E00846" w:rsidRPr="000A7FD1">
        <w:t xml:space="preserve">and result in debit and credit entries to the entity’s accounts </w:t>
      </w:r>
      <w:r w:rsidRPr="000A7FD1">
        <w:t xml:space="preserve">(e.g., </w:t>
      </w:r>
      <w:r w:rsidR="00E00846" w:rsidRPr="000A7FD1">
        <w:t xml:space="preserve">billing, purchasing, </w:t>
      </w:r>
      <w:r w:rsidR="003A037D" w:rsidRPr="000A7FD1">
        <w:t>cash receipts, cash disbursements</w:t>
      </w:r>
      <w:r w:rsidR="009E287C" w:rsidRPr="000A7FD1">
        <w:t>, journal vouchers, and adjusting entries</w:t>
      </w:r>
      <w:r w:rsidRPr="000A7FD1">
        <w:t xml:space="preserve">). </w:t>
      </w:r>
      <w:r w:rsidR="009E287C" w:rsidRPr="000A7FD1">
        <w:t xml:space="preserve">Transactions within each class are generally subject to similar risks and internal controls. </w:t>
      </w:r>
      <w:r w:rsidR="00E00846" w:rsidRPr="000A7FD1">
        <w:t>These classes of transac</w:t>
      </w:r>
      <w:r w:rsidR="00B63D9C" w:rsidRPr="000A7FD1">
        <w:t xml:space="preserve">tions generally affect line items reported </w:t>
      </w:r>
      <w:r w:rsidR="00F048B8" w:rsidRPr="000A7FD1">
        <w:t>on</w:t>
      </w:r>
      <w:r w:rsidR="00B63D9C" w:rsidRPr="000A7FD1">
        <w:t xml:space="preserve"> all financial statements. </w:t>
      </w:r>
    </w:p>
    <w:p w14:paraId="20AAE84B" w14:textId="2E2A9761" w:rsidR="009D3A43" w:rsidRPr="000A7FD1" w:rsidRDefault="0097105C" w:rsidP="000D1813">
      <w:pPr>
        <w:pStyle w:val="FAMSubsection"/>
        <w:numPr>
          <w:ilvl w:val="0"/>
          <w:numId w:val="79"/>
        </w:numPr>
        <w:ind w:left="1800"/>
      </w:pPr>
      <w:r w:rsidRPr="000A7FD1">
        <w:t>Line item/account</w:t>
      </w:r>
      <w:r w:rsidR="00426DB2" w:rsidRPr="000A7FD1">
        <w:t>-</w:t>
      </w:r>
      <w:r w:rsidR="00C43F39" w:rsidRPr="000A7FD1">
        <w:t xml:space="preserve">related </w:t>
      </w:r>
      <w:r w:rsidRPr="000A7FD1">
        <w:t xml:space="preserve">classes of transactions </w:t>
      </w:r>
      <w:r w:rsidR="003A037D" w:rsidRPr="000A7FD1">
        <w:t>are</w:t>
      </w:r>
      <w:r w:rsidR="00426DB2" w:rsidRPr="000A7FD1">
        <w:t xml:space="preserve"> </w:t>
      </w:r>
      <w:r w:rsidR="003A037D" w:rsidRPr="000A7FD1">
        <w:t xml:space="preserve">the </w:t>
      </w:r>
      <w:r w:rsidR="00426DB2" w:rsidRPr="000A7FD1">
        <w:t>activities</w:t>
      </w:r>
      <w:r w:rsidR="00743250" w:rsidRPr="000A7FD1">
        <w:t xml:space="preserve"> </w:t>
      </w:r>
      <w:r w:rsidR="00426DB2" w:rsidRPr="000A7FD1">
        <w:t xml:space="preserve">that </w:t>
      </w:r>
      <w:r w:rsidRPr="000A7FD1">
        <w:t>support balances that exist at period-end</w:t>
      </w:r>
      <w:r w:rsidR="009D3A43" w:rsidRPr="000A7FD1">
        <w:t xml:space="preserve"> (e.g., cash balance, property balance, and accounts payable balance)</w:t>
      </w:r>
      <w:r w:rsidR="00F048B8" w:rsidRPr="000A7FD1">
        <w:t xml:space="preserve">. These classes of transactions generally affect line items reported on the balance sheet or </w:t>
      </w:r>
      <w:r w:rsidR="00C278FF" w:rsidRPr="000A7FD1">
        <w:t xml:space="preserve">ending balances reported on the </w:t>
      </w:r>
      <w:r w:rsidR="00F048B8" w:rsidRPr="000A7FD1">
        <w:t>statement of budgetary resources</w:t>
      </w:r>
      <w:r w:rsidRPr="000A7FD1">
        <w:t xml:space="preserve">. </w:t>
      </w:r>
    </w:p>
    <w:p w14:paraId="302DD5E4" w14:textId="7EFE1681" w:rsidR="000E1850" w:rsidRPr="000A7FD1" w:rsidRDefault="009A0329" w:rsidP="009D3A43">
      <w:pPr>
        <w:pStyle w:val="FAMSubsection"/>
        <w:numPr>
          <w:ilvl w:val="0"/>
          <w:numId w:val="0"/>
        </w:numPr>
        <w:ind w:left="1440"/>
      </w:pPr>
      <w:r w:rsidRPr="000A7FD1">
        <w:t xml:space="preserve">For example, </w:t>
      </w:r>
      <w:r w:rsidR="00C278FF" w:rsidRPr="000A7FD1">
        <w:t>when cash is received, the entity typically debits cash and credits revenue</w:t>
      </w:r>
      <w:r w:rsidR="005B7696" w:rsidRPr="000A7FD1">
        <w:t xml:space="preserve"> or accounts receivable</w:t>
      </w:r>
      <w:r w:rsidR="00C278FF" w:rsidRPr="000A7FD1">
        <w:t>. At period-end, the entity will typically also perform reconciliations and other activities to support the ending cash balance. A</w:t>
      </w:r>
      <w:r w:rsidRPr="000A7FD1">
        <w:t xml:space="preserve">s illustrated in FAM 395 A, </w:t>
      </w:r>
      <w:r w:rsidR="00426DB2" w:rsidRPr="000A7FD1">
        <w:t xml:space="preserve">classes of transactions </w:t>
      </w:r>
      <w:r w:rsidR="003A037D" w:rsidRPr="000A7FD1">
        <w:t>that affect</w:t>
      </w:r>
      <w:r w:rsidRPr="000A7FD1">
        <w:t xml:space="preserve"> the </w:t>
      </w:r>
      <w:r w:rsidR="005420CB" w:rsidRPr="000A7FD1">
        <w:t>cash line item</w:t>
      </w:r>
      <w:r w:rsidR="004E20D4" w:rsidRPr="000A7FD1">
        <w:t xml:space="preserve"> </w:t>
      </w:r>
      <w:r w:rsidR="005716E6" w:rsidRPr="000A7FD1">
        <w:t>typically include the</w:t>
      </w:r>
      <w:r w:rsidR="005420CB" w:rsidRPr="000A7FD1">
        <w:t xml:space="preserve"> </w:t>
      </w:r>
      <w:r w:rsidRPr="000A7FD1">
        <w:t>cash receipts</w:t>
      </w:r>
      <w:r w:rsidR="00426DB2" w:rsidRPr="000A7FD1">
        <w:t>,</w:t>
      </w:r>
      <w:r w:rsidR="006C6A71" w:rsidRPr="000A7FD1">
        <w:t xml:space="preserve"> </w:t>
      </w:r>
      <w:r w:rsidRPr="000A7FD1">
        <w:t>cash disbursements</w:t>
      </w:r>
      <w:r w:rsidR="00426DB2" w:rsidRPr="000A7FD1">
        <w:t>, and cash balance,</w:t>
      </w:r>
      <w:r w:rsidRPr="000A7FD1">
        <w:t xml:space="preserve"> </w:t>
      </w:r>
      <w:r w:rsidR="00D8172E" w:rsidRPr="000A7FD1">
        <w:t xml:space="preserve">while </w:t>
      </w:r>
      <w:r w:rsidR="00426DB2" w:rsidRPr="000A7FD1">
        <w:t xml:space="preserve">classes of transactions </w:t>
      </w:r>
      <w:r w:rsidR="009D3A43" w:rsidRPr="000A7FD1">
        <w:t>that affect</w:t>
      </w:r>
      <w:r w:rsidRPr="000A7FD1">
        <w:t xml:space="preserve"> </w:t>
      </w:r>
      <w:r w:rsidR="00414D42" w:rsidRPr="000A7FD1">
        <w:t xml:space="preserve">the </w:t>
      </w:r>
      <w:r w:rsidR="00426DB2" w:rsidRPr="000A7FD1">
        <w:t>revenue</w:t>
      </w:r>
      <w:r w:rsidRPr="000A7FD1">
        <w:t xml:space="preserve"> </w:t>
      </w:r>
      <w:r w:rsidR="005420CB" w:rsidRPr="000A7FD1">
        <w:t>line item</w:t>
      </w:r>
      <w:r w:rsidR="00414D42" w:rsidRPr="000A7FD1">
        <w:t xml:space="preserve"> </w:t>
      </w:r>
      <w:r w:rsidR="005716E6" w:rsidRPr="000A7FD1">
        <w:t xml:space="preserve">typically include </w:t>
      </w:r>
      <w:r w:rsidRPr="000A7FD1">
        <w:t>billing</w:t>
      </w:r>
      <w:r w:rsidR="0046003F" w:rsidRPr="000A7FD1">
        <w:t xml:space="preserve"> </w:t>
      </w:r>
      <w:r w:rsidR="005420CB" w:rsidRPr="000A7FD1">
        <w:t xml:space="preserve">and </w:t>
      </w:r>
      <w:r w:rsidRPr="000A7FD1">
        <w:t xml:space="preserve">cash receipts. </w:t>
      </w:r>
    </w:p>
    <w:p w14:paraId="10A31EB4" w14:textId="7B1F3E07" w:rsidR="009A0329" w:rsidRPr="000A7FD1" w:rsidRDefault="009A0329" w:rsidP="004A102E">
      <w:pPr>
        <w:pStyle w:val="FAMSubsection"/>
      </w:pPr>
      <w:r w:rsidRPr="000A7FD1">
        <w:t xml:space="preserve">The auditor should understand how misstatements in </w:t>
      </w:r>
      <w:r w:rsidR="00876576" w:rsidRPr="000A7FD1">
        <w:t>material classes of transactions</w:t>
      </w:r>
      <w:r w:rsidRPr="000A7FD1">
        <w:t xml:space="preserve"> could affect the related line item</w:t>
      </w:r>
      <w:r w:rsidR="005B7A2E" w:rsidRPr="000A7FD1">
        <w:t>s</w:t>
      </w:r>
      <w:r w:rsidR="00B547C1" w:rsidRPr="000A7FD1">
        <w:t>,</w:t>
      </w:r>
      <w:r w:rsidRPr="000A7FD1">
        <w:t xml:space="preserve"> account</w:t>
      </w:r>
      <w:r w:rsidR="005B7A2E" w:rsidRPr="000A7FD1">
        <w:t>s</w:t>
      </w:r>
      <w:r w:rsidR="00B547C1" w:rsidRPr="000A7FD1">
        <w:t xml:space="preserve">, </w:t>
      </w:r>
      <w:r w:rsidR="00A84467" w:rsidRPr="000A7FD1">
        <w:t>and</w:t>
      </w:r>
      <w:r w:rsidR="00B547C1" w:rsidRPr="000A7FD1">
        <w:t xml:space="preserve"> note disclosure</w:t>
      </w:r>
      <w:r w:rsidR="005B7A2E" w:rsidRPr="000A7FD1">
        <w:t>s</w:t>
      </w:r>
      <w:r w:rsidRPr="000A7FD1">
        <w:t xml:space="preserve"> at </w:t>
      </w:r>
      <w:r w:rsidR="00523614" w:rsidRPr="000A7FD1">
        <w:t>the</w:t>
      </w:r>
      <w:r w:rsidRPr="000A7FD1">
        <w:t xml:space="preserve"> assertion level. For example, an overstatement of cash receipts typically results in (1) an overstatement of the cash account (by overstating the debit to cash) and (2) an </w:t>
      </w:r>
      <w:r w:rsidR="00C278FF" w:rsidRPr="000A7FD1">
        <w:t xml:space="preserve">overstatement of revenue (by overstating the credit to revenue) or an </w:t>
      </w:r>
      <w:r w:rsidRPr="000A7FD1">
        <w:t>understatement of accounts receivable (by overstating the credit to accounts receivable)</w:t>
      </w:r>
      <w:r w:rsidR="00C83EA5" w:rsidRPr="000A7FD1">
        <w:t xml:space="preserve">. To illustrate this concept using assertions, a misstatement in the occurrence assertion for cash receipts typically results in misstatements in </w:t>
      </w:r>
      <w:r w:rsidR="00C83EA5" w:rsidRPr="000A7FD1">
        <w:lastRenderedPageBreak/>
        <w:t>(1) the existence assertion for the cash account and (2) the completeness assertion for accounts receivable</w:t>
      </w:r>
      <w:r w:rsidR="00975A2E" w:rsidRPr="000A7FD1">
        <w:t xml:space="preserve"> or the </w:t>
      </w:r>
      <w:r w:rsidR="005B7696" w:rsidRPr="000A7FD1">
        <w:t>occurrence</w:t>
      </w:r>
      <w:r w:rsidR="00975A2E" w:rsidRPr="000A7FD1">
        <w:t xml:space="preserve"> assertion for </w:t>
      </w:r>
      <w:r w:rsidR="005B7696" w:rsidRPr="000A7FD1">
        <w:t>revenue</w:t>
      </w:r>
      <w:r w:rsidR="00C83EA5" w:rsidRPr="000A7FD1">
        <w:t>.</w:t>
      </w:r>
    </w:p>
    <w:p w14:paraId="6A6EDA53" w14:textId="3A41EFFA" w:rsidR="00751857" w:rsidRPr="000A7FD1" w:rsidRDefault="009A0329" w:rsidP="004A102E">
      <w:pPr>
        <w:pStyle w:val="FAMSubsection"/>
      </w:pPr>
      <w:r w:rsidRPr="000A7FD1">
        <w:t xml:space="preserve">To understand the effect of misstatements </w:t>
      </w:r>
      <w:r w:rsidR="00A60E00" w:rsidRPr="000A7FD1">
        <w:t xml:space="preserve">on </w:t>
      </w:r>
      <w:r w:rsidR="009158AD" w:rsidRPr="000A7FD1">
        <w:t xml:space="preserve">those </w:t>
      </w:r>
      <w:r w:rsidR="00A60E00" w:rsidRPr="000A7FD1">
        <w:t xml:space="preserve">line items </w:t>
      </w:r>
      <w:r w:rsidR="00085AAA" w:rsidRPr="000A7FD1">
        <w:t>and</w:t>
      </w:r>
      <w:r w:rsidR="00A60E00" w:rsidRPr="000A7FD1">
        <w:t xml:space="preserve"> account</w:t>
      </w:r>
      <w:r w:rsidR="00493040" w:rsidRPr="000A7FD1">
        <w:t>s</w:t>
      </w:r>
      <w:r w:rsidR="00A60E00" w:rsidRPr="000A7FD1">
        <w:t xml:space="preserve"> that </w:t>
      </w:r>
      <w:r w:rsidR="000D0B20" w:rsidRPr="000A7FD1">
        <w:t xml:space="preserve">reflect balances at </w:t>
      </w:r>
      <w:r w:rsidR="00A60E00" w:rsidRPr="000A7FD1">
        <w:t>period-end (</w:t>
      </w:r>
      <w:r w:rsidR="002F0413" w:rsidRPr="000A7FD1">
        <w:t xml:space="preserve">i.e., period-end balances), such as </w:t>
      </w:r>
      <w:r w:rsidR="00A60E00" w:rsidRPr="000A7FD1">
        <w:t xml:space="preserve">asset, liability, net position, or </w:t>
      </w:r>
      <w:r w:rsidR="009158AD" w:rsidRPr="000A7FD1">
        <w:t xml:space="preserve">ending </w:t>
      </w:r>
      <w:r w:rsidR="00A60E00" w:rsidRPr="000A7FD1">
        <w:t>budgetary balances</w:t>
      </w:r>
      <w:r w:rsidR="00493040" w:rsidRPr="000A7FD1">
        <w:t>, the auditor should consider both transaction-related and line item/account</w:t>
      </w:r>
      <w:r w:rsidR="00123EC1" w:rsidRPr="000A7FD1">
        <w:t>-</w:t>
      </w:r>
      <w:r w:rsidR="00493040" w:rsidRPr="000A7FD1">
        <w:t>related assertions.</w:t>
      </w:r>
      <w:r w:rsidRPr="000A7FD1">
        <w:t xml:space="preserve"> </w:t>
      </w:r>
      <w:r w:rsidR="00493040" w:rsidRPr="000A7FD1">
        <w:t>T</w:t>
      </w:r>
      <w:r w:rsidRPr="000A7FD1">
        <w:t>he auditor may consult table 330</w:t>
      </w:r>
      <w:r w:rsidR="00E05FE9" w:rsidRPr="000A7FD1">
        <w:t>.1</w:t>
      </w:r>
      <w:r w:rsidRPr="000A7FD1">
        <w:t xml:space="preserve"> regarding </w:t>
      </w:r>
      <w:r w:rsidR="008F30E5" w:rsidRPr="000A7FD1">
        <w:t xml:space="preserve">how </w:t>
      </w:r>
      <w:r w:rsidR="00123EC1" w:rsidRPr="000A7FD1">
        <w:t xml:space="preserve">transaction-related </w:t>
      </w:r>
      <w:r w:rsidR="008F30E5" w:rsidRPr="000A7FD1">
        <w:t xml:space="preserve">assertions </w:t>
      </w:r>
      <w:r w:rsidR="000D0B20" w:rsidRPr="000A7FD1">
        <w:t xml:space="preserve">may </w:t>
      </w:r>
      <w:r w:rsidRPr="000A7FD1">
        <w:t>affect line item/account</w:t>
      </w:r>
      <w:r w:rsidR="00085AAA" w:rsidRPr="000A7FD1">
        <w:t>-related</w:t>
      </w:r>
      <w:r w:rsidRPr="000A7FD1">
        <w:t xml:space="preserve"> assertions.</w:t>
      </w:r>
      <w:r w:rsidR="00085AAA" w:rsidRPr="000A7FD1">
        <w:t xml:space="preserve"> </w:t>
      </w:r>
    </w:p>
    <w:p w14:paraId="61D37AF8" w14:textId="1238CEF9" w:rsidR="009A0329" w:rsidRPr="000A7FD1" w:rsidRDefault="009A0329" w:rsidP="008F30E5">
      <w:pPr>
        <w:pStyle w:val="FAMSubsection"/>
        <w:numPr>
          <w:ilvl w:val="0"/>
          <w:numId w:val="0"/>
        </w:numPr>
        <w:tabs>
          <w:tab w:val="left" w:pos="2520"/>
        </w:tabs>
        <w:ind w:left="1440"/>
        <w:rPr>
          <w:b/>
          <w:u w:val="single"/>
        </w:rPr>
      </w:pPr>
      <w:r w:rsidRPr="000A7FD1">
        <w:rPr>
          <w:b/>
          <w:u w:val="single"/>
        </w:rPr>
        <w:t>Table 330</w:t>
      </w:r>
      <w:r w:rsidR="00E05FE9" w:rsidRPr="000A7FD1">
        <w:rPr>
          <w:b/>
          <w:u w:val="single"/>
        </w:rPr>
        <w:t>.1</w:t>
      </w:r>
      <w:r w:rsidRPr="000A7FD1">
        <w:rPr>
          <w:b/>
          <w:u w:val="single"/>
        </w:rPr>
        <w:t xml:space="preserve">: </w:t>
      </w:r>
      <w:r w:rsidR="00085AAA" w:rsidRPr="000A7FD1">
        <w:rPr>
          <w:b/>
          <w:u w:val="single"/>
        </w:rPr>
        <w:t xml:space="preserve">Effect of </w:t>
      </w:r>
      <w:r w:rsidRPr="000A7FD1">
        <w:rPr>
          <w:b/>
          <w:u w:val="single"/>
        </w:rPr>
        <w:t xml:space="preserve">Transaction-Related Assertions </w:t>
      </w:r>
      <w:proofErr w:type="gramStart"/>
      <w:r w:rsidR="00085AAA" w:rsidRPr="000A7FD1">
        <w:rPr>
          <w:b/>
          <w:u w:val="single"/>
        </w:rPr>
        <w:t xml:space="preserve">on </w:t>
      </w:r>
      <w:r w:rsidRPr="000A7FD1">
        <w:rPr>
          <w:b/>
          <w:u w:val="single"/>
        </w:rPr>
        <w:t>Line</w:t>
      </w:r>
      <w:proofErr w:type="gramEnd"/>
      <w:r w:rsidRPr="000A7FD1">
        <w:rPr>
          <w:b/>
          <w:u w:val="single"/>
        </w:rPr>
        <w:t xml:space="preserve"> Item/</w:t>
      </w:r>
      <w:r w:rsidR="00D8187A" w:rsidRPr="000A7FD1">
        <w:rPr>
          <w:b/>
          <w:u w:val="single"/>
        </w:rPr>
        <w:t xml:space="preserve"> </w:t>
      </w:r>
      <w:r w:rsidRPr="000A7FD1">
        <w:rPr>
          <w:b/>
          <w:u w:val="single"/>
        </w:rPr>
        <w:t>Account</w:t>
      </w:r>
      <w:r w:rsidR="00477FCF" w:rsidRPr="000A7FD1">
        <w:rPr>
          <w:b/>
          <w:u w:val="single"/>
        </w:rPr>
        <w:t>-Related</w:t>
      </w:r>
      <w:r w:rsidRPr="000A7FD1">
        <w:rPr>
          <w:b/>
          <w:u w:val="single"/>
        </w:rPr>
        <w:t xml:space="preserve"> Assertions</w:t>
      </w:r>
      <w:r w:rsidR="00F96E30" w:rsidRPr="000A7FD1">
        <w:rPr>
          <w:b/>
          <w:u w:val="single"/>
        </w:rPr>
        <w:t xml:space="preserve"> </w:t>
      </w:r>
      <w:r w:rsidR="002F0413" w:rsidRPr="000A7FD1">
        <w:rPr>
          <w:b/>
          <w:u w:val="single"/>
        </w:rPr>
        <w:t>for Period-End</w:t>
      </w:r>
      <w:r w:rsidR="00F96E30" w:rsidRPr="000A7FD1">
        <w:rPr>
          <w:b/>
          <w:u w:val="single"/>
        </w:rPr>
        <w:t xml:space="preserve"> Balances</w:t>
      </w:r>
    </w:p>
    <w:tbl>
      <w:tblPr>
        <w:tblW w:w="4080" w:type="pct"/>
        <w:tblInd w:w="15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144" w:type="dxa"/>
          <w:left w:w="115" w:type="dxa"/>
          <w:bottom w:w="144" w:type="dxa"/>
          <w:right w:w="230" w:type="dxa"/>
        </w:tblCellMar>
        <w:tblLook w:val="0000" w:firstRow="0" w:lastRow="0" w:firstColumn="0" w:lastColumn="0" w:noHBand="0" w:noVBand="0"/>
      </w:tblPr>
      <w:tblGrid>
        <w:gridCol w:w="2700"/>
        <w:gridCol w:w="4913"/>
      </w:tblGrid>
      <w:tr w:rsidR="009A0329" w:rsidRPr="000A7FD1" w14:paraId="364B6264" w14:textId="77777777" w:rsidTr="00E30118">
        <w:trPr>
          <w:trHeight w:val="144"/>
          <w:tblHeader/>
        </w:trPr>
        <w:tc>
          <w:tcPr>
            <w:tcW w:w="2700" w:type="dxa"/>
            <w:vAlign w:val="bottom"/>
          </w:tcPr>
          <w:p w14:paraId="09215E41" w14:textId="2868E3D3" w:rsidR="009A0329" w:rsidRPr="000A7FD1" w:rsidRDefault="009A0329" w:rsidP="00123EC1">
            <w:pPr>
              <w:pStyle w:val="Table-Head-Center"/>
              <w:spacing w:before="0" w:after="0"/>
            </w:pPr>
            <w:r w:rsidRPr="000A7FD1">
              <w:t>Transaction-related  assertion</w:t>
            </w:r>
            <w:r w:rsidR="00D93C73" w:rsidRPr="000A7FD1">
              <w:t>s</w:t>
            </w:r>
            <w:r w:rsidR="00123EC1" w:rsidRPr="000A7FD1">
              <w:t xml:space="preserve"> </w:t>
            </w:r>
          </w:p>
        </w:tc>
        <w:tc>
          <w:tcPr>
            <w:tcW w:w="4913" w:type="dxa"/>
            <w:vAlign w:val="bottom"/>
          </w:tcPr>
          <w:p w14:paraId="60299524" w14:textId="5AF8E66C" w:rsidR="009A0329" w:rsidRPr="000A7FD1" w:rsidRDefault="009A0329" w:rsidP="00123EC1">
            <w:pPr>
              <w:pStyle w:val="Table-Head-Center"/>
              <w:spacing w:before="0" w:after="0"/>
            </w:pPr>
            <w:r w:rsidRPr="000A7FD1">
              <w:t>Line item/account</w:t>
            </w:r>
            <w:r w:rsidR="00D93C73" w:rsidRPr="000A7FD1">
              <w:t>-related</w:t>
            </w:r>
            <w:r w:rsidR="009158AD" w:rsidRPr="000A7FD1">
              <w:t xml:space="preserve"> </w:t>
            </w:r>
            <w:r w:rsidRPr="000A7FD1">
              <w:t>assertions affected</w:t>
            </w:r>
          </w:p>
        </w:tc>
      </w:tr>
      <w:tr w:rsidR="009A0329" w:rsidRPr="000A7FD1" w14:paraId="1D10EDCF" w14:textId="77777777" w:rsidTr="00123EC1">
        <w:trPr>
          <w:trHeight w:val="1196"/>
        </w:trPr>
        <w:tc>
          <w:tcPr>
            <w:tcW w:w="2700" w:type="dxa"/>
          </w:tcPr>
          <w:p w14:paraId="050A67C7" w14:textId="6140D577" w:rsidR="009A0329" w:rsidRPr="000A7FD1" w:rsidRDefault="00014A01" w:rsidP="00123EC1">
            <w:pPr>
              <w:pStyle w:val="Table-Head-Center"/>
              <w:spacing w:before="0" w:after="0"/>
            </w:pPr>
            <w:r w:rsidRPr="000A7FD1">
              <w:t>O</w:t>
            </w:r>
            <w:r w:rsidR="009A0329" w:rsidRPr="000A7FD1">
              <w:t>ccurrence</w:t>
            </w:r>
            <w:r w:rsidR="002770C4" w:rsidRPr="000A7FD1">
              <w:t>/</w:t>
            </w:r>
            <w:r w:rsidR="000A69D0" w:rsidRPr="000A7FD1">
              <w:t>v</w:t>
            </w:r>
            <w:r w:rsidR="002770C4" w:rsidRPr="000A7FD1">
              <w:t>alidity</w:t>
            </w:r>
          </w:p>
        </w:tc>
        <w:tc>
          <w:tcPr>
            <w:tcW w:w="4913" w:type="dxa"/>
          </w:tcPr>
          <w:p w14:paraId="7B3C01C6" w14:textId="19ACB619" w:rsidR="009A0329" w:rsidRPr="000A7FD1" w:rsidRDefault="009A0329" w:rsidP="00123EC1">
            <w:pPr>
              <w:pStyle w:val="FAM-Table-Bullet"/>
              <w:keepNext/>
              <w:keepLines/>
              <w:tabs>
                <w:tab w:val="left" w:pos="8910"/>
              </w:tabs>
              <w:rPr>
                <w:rFonts w:ascii="Arial" w:hAnsi="Arial" w:cs="Arial"/>
                <w:sz w:val="22"/>
              </w:rPr>
            </w:pPr>
            <w:r w:rsidRPr="000A7FD1">
              <w:rPr>
                <w:rFonts w:ascii="Arial" w:hAnsi="Arial" w:cs="Arial"/>
                <w:sz w:val="22"/>
              </w:rPr>
              <w:t xml:space="preserve">Existence, if the </w:t>
            </w:r>
            <w:r w:rsidR="006B4429" w:rsidRPr="000A7FD1">
              <w:rPr>
                <w:rFonts w:ascii="Arial" w:hAnsi="Arial" w:cs="Arial"/>
                <w:sz w:val="22"/>
              </w:rPr>
              <w:t xml:space="preserve">transaction </w:t>
            </w:r>
            <w:r w:rsidRPr="000A7FD1">
              <w:rPr>
                <w:rFonts w:ascii="Arial" w:hAnsi="Arial" w:cs="Arial"/>
                <w:sz w:val="22"/>
              </w:rPr>
              <w:t>increases the line item/account balance</w:t>
            </w:r>
          </w:p>
          <w:p w14:paraId="481D09E2" w14:textId="55EC7086" w:rsidR="009A0329" w:rsidRPr="000A7FD1" w:rsidRDefault="002770C4" w:rsidP="00123EC1">
            <w:pPr>
              <w:pStyle w:val="FAM-Table-Bullet"/>
              <w:keepNext/>
              <w:keepLines/>
              <w:tabs>
                <w:tab w:val="left" w:pos="8910"/>
              </w:tabs>
              <w:rPr>
                <w:rFonts w:ascii="Arial" w:hAnsi="Arial" w:cs="Arial"/>
                <w:sz w:val="22"/>
              </w:rPr>
            </w:pPr>
            <w:r w:rsidRPr="000A7FD1">
              <w:rPr>
                <w:rFonts w:ascii="Arial" w:hAnsi="Arial" w:cs="Arial"/>
                <w:sz w:val="22"/>
              </w:rPr>
              <w:t xml:space="preserve">Account </w:t>
            </w:r>
            <w:proofErr w:type="gramStart"/>
            <w:r w:rsidRPr="000A7FD1">
              <w:rPr>
                <w:rFonts w:ascii="Arial" w:hAnsi="Arial" w:cs="Arial"/>
                <w:sz w:val="22"/>
              </w:rPr>
              <w:t>c</w:t>
            </w:r>
            <w:r w:rsidR="009A0329" w:rsidRPr="000A7FD1">
              <w:rPr>
                <w:rFonts w:ascii="Arial" w:hAnsi="Arial" w:cs="Arial"/>
                <w:sz w:val="22"/>
              </w:rPr>
              <w:t>ompleteness, if</w:t>
            </w:r>
            <w:proofErr w:type="gramEnd"/>
            <w:r w:rsidR="009A0329" w:rsidRPr="000A7FD1">
              <w:rPr>
                <w:rFonts w:ascii="Arial" w:hAnsi="Arial" w:cs="Arial"/>
                <w:sz w:val="22"/>
              </w:rPr>
              <w:t xml:space="preserve"> the </w:t>
            </w:r>
            <w:r w:rsidR="006B4429" w:rsidRPr="000A7FD1">
              <w:rPr>
                <w:rFonts w:ascii="Arial" w:hAnsi="Arial" w:cs="Arial"/>
                <w:sz w:val="22"/>
              </w:rPr>
              <w:t xml:space="preserve">transaction </w:t>
            </w:r>
            <w:r w:rsidR="009A0329" w:rsidRPr="000A7FD1">
              <w:rPr>
                <w:rFonts w:ascii="Arial" w:hAnsi="Arial" w:cs="Arial"/>
                <w:sz w:val="22"/>
              </w:rPr>
              <w:t>decreases the line item/account balance</w:t>
            </w:r>
          </w:p>
        </w:tc>
      </w:tr>
      <w:tr w:rsidR="009A0329" w:rsidRPr="000A7FD1" w14:paraId="24ADD5EB" w14:textId="77777777" w:rsidTr="00123EC1">
        <w:tc>
          <w:tcPr>
            <w:tcW w:w="2700" w:type="dxa"/>
          </w:tcPr>
          <w:p w14:paraId="2D7FD559" w14:textId="6AA5BAEA" w:rsidR="009A0329" w:rsidRPr="000A7FD1" w:rsidRDefault="002770C4" w:rsidP="00123EC1">
            <w:pPr>
              <w:pStyle w:val="Table-Head-Center"/>
              <w:spacing w:before="0" w:after="0"/>
            </w:pPr>
            <w:r w:rsidRPr="000A7FD1">
              <w:t xml:space="preserve">Transaction </w:t>
            </w:r>
            <w:r w:rsidR="000A69D0" w:rsidRPr="000A7FD1">
              <w:br/>
            </w:r>
            <w:r w:rsidR="00700928" w:rsidRPr="000A7FD1">
              <w:t>c</w:t>
            </w:r>
            <w:r w:rsidR="009A0329" w:rsidRPr="000A7FD1">
              <w:t>ompleteness</w:t>
            </w:r>
          </w:p>
        </w:tc>
        <w:tc>
          <w:tcPr>
            <w:tcW w:w="4913" w:type="dxa"/>
          </w:tcPr>
          <w:p w14:paraId="1C28852F" w14:textId="785FF8DC" w:rsidR="009A0329" w:rsidRPr="000A7FD1" w:rsidRDefault="002770C4" w:rsidP="00123EC1">
            <w:pPr>
              <w:pStyle w:val="FAM-Table-Bullet"/>
              <w:keepNext/>
              <w:keepLines/>
              <w:tabs>
                <w:tab w:val="left" w:pos="8910"/>
              </w:tabs>
              <w:rPr>
                <w:rFonts w:ascii="Arial" w:hAnsi="Arial" w:cs="Arial"/>
                <w:sz w:val="22"/>
              </w:rPr>
            </w:pPr>
            <w:r w:rsidRPr="000A7FD1">
              <w:rPr>
                <w:rFonts w:ascii="Arial" w:hAnsi="Arial" w:cs="Arial"/>
                <w:sz w:val="22"/>
              </w:rPr>
              <w:t xml:space="preserve">Account </w:t>
            </w:r>
            <w:proofErr w:type="gramStart"/>
            <w:r w:rsidRPr="000A7FD1">
              <w:rPr>
                <w:rFonts w:ascii="Arial" w:hAnsi="Arial" w:cs="Arial"/>
                <w:sz w:val="22"/>
              </w:rPr>
              <w:t>c</w:t>
            </w:r>
            <w:r w:rsidR="009A0329" w:rsidRPr="000A7FD1">
              <w:rPr>
                <w:rFonts w:ascii="Arial" w:hAnsi="Arial" w:cs="Arial"/>
                <w:sz w:val="22"/>
              </w:rPr>
              <w:t>ompleteness, if</w:t>
            </w:r>
            <w:proofErr w:type="gramEnd"/>
            <w:r w:rsidR="009A0329" w:rsidRPr="000A7FD1">
              <w:rPr>
                <w:rFonts w:ascii="Arial" w:hAnsi="Arial" w:cs="Arial"/>
                <w:sz w:val="22"/>
              </w:rPr>
              <w:t xml:space="preserve"> the </w:t>
            </w:r>
            <w:r w:rsidR="006B4429" w:rsidRPr="000A7FD1">
              <w:rPr>
                <w:rFonts w:ascii="Arial" w:hAnsi="Arial" w:cs="Arial"/>
                <w:sz w:val="22"/>
              </w:rPr>
              <w:t xml:space="preserve">transaction </w:t>
            </w:r>
            <w:r w:rsidR="009A0329" w:rsidRPr="000A7FD1">
              <w:rPr>
                <w:rFonts w:ascii="Arial" w:hAnsi="Arial" w:cs="Arial"/>
                <w:sz w:val="22"/>
              </w:rPr>
              <w:t>increases the line item/account balance</w:t>
            </w:r>
          </w:p>
          <w:p w14:paraId="598A2B59" w14:textId="14DAF90D" w:rsidR="009A0329" w:rsidRPr="000A7FD1" w:rsidRDefault="009A0329" w:rsidP="00123EC1">
            <w:pPr>
              <w:pStyle w:val="FAM-Table-Bullet"/>
              <w:keepNext/>
              <w:keepLines/>
              <w:tabs>
                <w:tab w:val="left" w:pos="8910"/>
              </w:tabs>
              <w:rPr>
                <w:rFonts w:ascii="Arial" w:hAnsi="Arial" w:cs="Arial"/>
                <w:sz w:val="22"/>
              </w:rPr>
            </w:pPr>
            <w:r w:rsidRPr="000A7FD1">
              <w:rPr>
                <w:rFonts w:ascii="Arial" w:hAnsi="Arial" w:cs="Arial"/>
                <w:sz w:val="22"/>
              </w:rPr>
              <w:t xml:space="preserve">Existence, if the </w:t>
            </w:r>
            <w:r w:rsidR="006B4429" w:rsidRPr="000A7FD1">
              <w:rPr>
                <w:rFonts w:ascii="Arial" w:hAnsi="Arial" w:cs="Arial"/>
                <w:sz w:val="22"/>
              </w:rPr>
              <w:t xml:space="preserve">transaction </w:t>
            </w:r>
            <w:r w:rsidRPr="000A7FD1">
              <w:rPr>
                <w:rFonts w:ascii="Arial" w:hAnsi="Arial" w:cs="Arial"/>
                <w:sz w:val="22"/>
              </w:rPr>
              <w:t>decreases the line item/account balance</w:t>
            </w:r>
          </w:p>
        </w:tc>
      </w:tr>
      <w:tr w:rsidR="009A0329" w:rsidRPr="000A7FD1" w14:paraId="5184D9B5" w14:textId="77777777" w:rsidTr="00123EC1">
        <w:tc>
          <w:tcPr>
            <w:tcW w:w="2700" w:type="dxa"/>
          </w:tcPr>
          <w:p w14:paraId="3BF45104" w14:textId="222126B3" w:rsidR="009A0329" w:rsidRPr="000A7FD1" w:rsidRDefault="009A0329" w:rsidP="00123EC1">
            <w:pPr>
              <w:pStyle w:val="Table-Head-Center"/>
              <w:spacing w:before="0" w:after="0"/>
            </w:pPr>
            <w:r w:rsidRPr="000A7FD1">
              <w:t>Accuracy</w:t>
            </w:r>
          </w:p>
        </w:tc>
        <w:tc>
          <w:tcPr>
            <w:tcW w:w="4913" w:type="dxa"/>
          </w:tcPr>
          <w:p w14:paraId="26D4EC95" w14:textId="6BE74F8B" w:rsidR="009A0329" w:rsidRPr="000A7FD1" w:rsidRDefault="009A0329" w:rsidP="00123EC1">
            <w:pPr>
              <w:pStyle w:val="FAM-Table-Bullet"/>
              <w:keepNext/>
              <w:keepLines/>
              <w:tabs>
                <w:tab w:val="left" w:pos="8910"/>
              </w:tabs>
              <w:rPr>
                <w:rFonts w:ascii="Arial" w:hAnsi="Arial" w:cs="Arial"/>
                <w:sz w:val="22"/>
              </w:rPr>
            </w:pPr>
            <w:r w:rsidRPr="000A7FD1">
              <w:rPr>
                <w:rFonts w:ascii="Arial" w:hAnsi="Arial" w:cs="Arial"/>
                <w:sz w:val="22"/>
              </w:rPr>
              <w:t>Accuracy</w:t>
            </w:r>
            <w:r w:rsidR="002770C4" w:rsidRPr="000A7FD1">
              <w:rPr>
                <w:rFonts w:ascii="Arial" w:hAnsi="Arial" w:cs="Arial"/>
                <w:sz w:val="22"/>
              </w:rPr>
              <w:t xml:space="preserve">, </w:t>
            </w:r>
            <w:r w:rsidR="000A69D0" w:rsidRPr="000A7FD1">
              <w:rPr>
                <w:rFonts w:ascii="Arial" w:hAnsi="Arial" w:cs="Arial"/>
                <w:sz w:val="22"/>
              </w:rPr>
              <w:t>v</w:t>
            </w:r>
            <w:r w:rsidR="002770C4" w:rsidRPr="000A7FD1">
              <w:rPr>
                <w:rFonts w:ascii="Arial" w:hAnsi="Arial" w:cs="Arial"/>
                <w:sz w:val="22"/>
              </w:rPr>
              <w:t xml:space="preserve">aluation, and </w:t>
            </w:r>
            <w:proofErr w:type="gramStart"/>
            <w:r w:rsidR="000A69D0" w:rsidRPr="000A7FD1">
              <w:rPr>
                <w:rFonts w:ascii="Arial" w:hAnsi="Arial" w:cs="Arial"/>
                <w:sz w:val="22"/>
              </w:rPr>
              <w:t>a</w:t>
            </w:r>
            <w:r w:rsidR="002770C4" w:rsidRPr="000A7FD1">
              <w:rPr>
                <w:rFonts w:ascii="Arial" w:hAnsi="Arial" w:cs="Arial"/>
                <w:sz w:val="22"/>
              </w:rPr>
              <w:t>llocation, if</w:t>
            </w:r>
            <w:proofErr w:type="gramEnd"/>
            <w:r w:rsidR="002770C4" w:rsidRPr="000A7FD1">
              <w:rPr>
                <w:rFonts w:ascii="Arial" w:hAnsi="Arial" w:cs="Arial"/>
                <w:sz w:val="22"/>
              </w:rPr>
              <w:t xml:space="preserve"> the transaction increases/decreases the line item/account balance</w:t>
            </w:r>
          </w:p>
        </w:tc>
      </w:tr>
    </w:tbl>
    <w:p w14:paraId="70A0DCD4" w14:textId="5C3A94C8" w:rsidR="009A0329" w:rsidRPr="000A7FD1" w:rsidRDefault="00E30118" w:rsidP="004A102E">
      <w:pPr>
        <w:pStyle w:val="FAM-Subsection"/>
      </w:pPr>
      <w:r w:rsidRPr="000A7FD1">
        <w:t xml:space="preserve">FAM 395 B includes a list of potential misstatements that could occur in each assertion and </w:t>
      </w:r>
      <w:r w:rsidR="00700928" w:rsidRPr="000A7FD1">
        <w:t xml:space="preserve">the </w:t>
      </w:r>
      <w:r w:rsidRPr="000A7FD1">
        <w:t xml:space="preserve">related control objectives. </w:t>
      </w:r>
      <w:r w:rsidR="00BC6216" w:rsidRPr="000A7FD1">
        <w:t>As discussed in FAM 2</w:t>
      </w:r>
      <w:r w:rsidR="002F0EAA" w:rsidRPr="000A7FD1">
        <w:t>65</w:t>
      </w:r>
      <w:r w:rsidR="00BC6216" w:rsidRPr="000A7FD1">
        <w:t xml:space="preserve">, </w:t>
      </w:r>
      <w:r w:rsidRPr="000A7FD1">
        <w:t>the auditor tailors the potential misstatements included in FAM 395 B to the specific circumstances of the entity</w:t>
      </w:r>
      <w:r w:rsidR="00157871" w:rsidRPr="000A7FD1">
        <w:t>. These potential misstatements</w:t>
      </w:r>
      <w:r w:rsidR="000A10B9" w:rsidRPr="000A7FD1">
        <w:t xml:space="preserve"> represent</w:t>
      </w:r>
      <w:r w:rsidRPr="000A7FD1">
        <w:t xml:space="preserve"> </w:t>
      </w:r>
      <w:r w:rsidR="000A10B9" w:rsidRPr="000A7FD1">
        <w:t xml:space="preserve">identified </w:t>
      </w:r>
      <w:r w:rsidRPr="000A7FD1">
        <w:t xml:space="preserve">risks of material misstatement at the assertion level </w:t>
      </w:r>
      <w:r w:rsidR="00BC6216" w:rsidRPr="000A7FD1">
        <w:t>for</w:t>
      </w:r>
      <w:r w:rsidR="00D251BD" w:rsidRPr="000A7FD1">
        <w:t xml:space="preserve"> material</w:t>
      </w:r>
      <w:r w:rsidR="00BC6216" w:rsidRPr="000A7FD1">
        <w:t xml:space="preserve"> line items, accounts, note disclosures, and classes of transactions. </w:t>
      </w:r>
      <w:r w:rsidR="009A0329" w:rsidRPr="000A7FD1">
        <w:t xml:space="preserve">For each </w:t>
      </w:r>
      <w:r w:rsidR="00A82DD6" w:rsidRPr="000A7FD1">
        <w:t>identified risk of material</w:t>
      </w:r>
      <w:r w:rsidR="009A0329" w:rsidRPr="000A7FD1">
        <w:t xml:space="preserve"> misstatement </w:t>
      </w:r>
      <w:r w:rsidR="001557FD" w:rsidRPr="000A7FD1">
        <w:t xml:space="preserve">at the assertion level for which </w:t>
      </w:r>
      <w:r w:rsidR="00A82DD6" w:rsidRPr="000A7FD1">
        <w:t xml:space="preserve">inherent risk is </w:t>
      </w:r>
      <w:r w:rsidR="00231087" w:rsidRPr="000A7FD1">
        <w:t>more than remote</w:t>
      </w:r>
      <w:r w:rsidR="009A0329" w:rsidRPr="000A7FD1">
        <w:t xml:space="preserve">, the auditor should identify </w:t>
      </w:r>
      <w:r w:rsidR="00A82DD6" w:rsidRPr="000A7FD1">
        <w:t xml:space="preserve">the </w:t>
      </w:r>
      <w:r w:rsidR="009A0329" w:rsidRPr="000A7FD1">
        <w:t>control objectives (and ultimately related control</w:t>
      </w:r>
      <w:r w:rsidR="00751857" w:rsidRPr="000A7FD1">
        <w:t xml:space="preserve"> activitie</w:t>
      </w:r>
      <w:r w:rsidR="009A0329" w:rsidRPr="000A7FD1">
        <w:t xml:space="preserve">s) that could prevent, or detect and correct, the </w:t>
      </w:r>
      <w:r w:rsidR="00BC6216" w:rsidRPr="000A7FD1">
        <w:t xml:space="preserve">potential </w:t>
      </w:r>
      <w:r w:rsidR="009A0329" w:rsidRPr="000A7FD1">
        <w:t xml:space="preserve">misstatement. The auditor </w:t>
      </w:r>
      <w:r w:rsidR="000E3B9A" w:rsidRPr="000A7FD1">
        <w:t xml:space="preserve">should </w:t>
      </w:r>
      <w:r w:rsidR="009A0329" w:rsidRPr="000A7FD1">
        <w:t xml:space="preserve">tailor </w:t>
      </w:r>
      <w:r w:rsidRPr="000A7FD1">
        <w:t>the list of control objectives in FAM 395 B</w:t>
      </w:r>
      <w:r w:rsidR="005B7696" w:rsidRPr="000A7FD1">
        <w:t>, as appropriate, which may include</w:t>
      </w:r>
      <w:r w:rsidRPr="000A7FD1">
        <w:t xml:space="preserve"> </w:t>
      </w:r>
      <w:r w:rsidR="009A0329" w:rsidRPr="000A7FD1">
        <w:t>supplement</w:t>
      </w:r>
      <w:r w:rsidR="005B7696" w:rsidRPr="000A7FD1">
        <w:t>ing</w:t>
      </w:r>
      <w:r w:rsidR="009A0329" w:rsidRPr="000A7FD1">
        <w:t xml:space="preserve"> the list with additional objectives or subobjectives.</w:t>
      </w:r>
    </w:p>
    <w:p w14:paraId="190526A6" w14:textId="784A0AEB" w:rsidR="00C90F89" w:rsidRPr="000A7FD1" w:rsidRDefault="00157871" w:rsidP="00F64F84">
      <w:pPr>
        <w:pStyle w:val="FAM-Subsection"/>
        <w:widowControl/>
        <w:adjustRightInd/>
        <w:textAlignment w:val="auto"/>
      </w:pPr>
      <w:r w:rsidRPr="000A7FD1">
        <w:t>The auditor should prepare</w:t>
      </w:r>
      <w:r w:rsidR="009A0329" w:rsidRPr="000A7FD1">
        <w:t xml:space="preserve"> </w:t>
      </w:r>
      <w:r w:rsidR="0060639C" w:rsidRPr="000A7FD1">
        <w:t>s</w:t>
      </w:r>
      <w:r w:rsidR="00D2542A" w:rsidRPr="000A7FD1">
        <w:t xml:space="preserve">pecific </w:t>
      </w:r>
      <w:r w:rsidR="0060639C" w:rsidRPr="000A7FD1">
        <w:t>c</w:t>
      </w:r>
      <w:r w:rsidR="00D2542A" w:rsidRPr="000A7FD1">
        <w:t xml:space="preserve">ontrol </w:t>
      </w:r>
      <w:r w:rsidR="0060639C" w:rsidRPr="000A7FD1">
        <w:t>e</w:t>
      </w:r>
      <w:r w:rsidR="00D2542A" w:rsidRPr="000A7FD1">
        <w:t>valuation (</w:t>
      </w:r>
      <w:r w:rsidR="009A0329" w:rsidRPr="000A7FD1">
        <w:t>SCE</w:t>
      </w:r>
      <w:r w:rsidR="00D2542A" w:rsidRPr="000A7FD1">
        <w:t>)</w:t>
      </w:r>
      <w:r w:rsidR="009A0329" w:rsidRPr="000A7FD1">
        <w:t xml:space="preserve"> worksheet</w:t>
      </w:r>
      <w:r w:rsidR="004C07C5" w:rsidRPr="000A7FD1">
        <w:t>s</w:t>
      </w:r>
      <w:r w:rsidR="009A0329" w:rsidRPr="000A7FD1">
        <w:t xml:space="preserve"> or equivalent</w:t>
      </w:r>
      <w:r w:rsidR="004C07C5" w:rsidRPr="000A7FD1">
        <w:t xml:space="preserve"> </w:t>
      </w:r>
      <w:r w:rsidR="00C90F89" w:rsidRPr="000A7FD1">
        <w:t xml:space="preserve">documentation </w:t>
      </w:r>
      <w:r w:rsidR="004C07C5" w:rsidRPr="000A7FD1">
        <w:t>that collectively</w:t>
      </w:r>
      <w:r w:rsidR="009A0329" w:rsidRPr="000A7FD1">
        <w:t xml:space="preserve"> document</w:t>
      </w:r>
      <w:r w:rsidR="000060A3" w:rsidRPr="000A7FD1">
        <w:t>s</w:t>
      </w:r>
      <w:r w:rsidR="00C90F89" w:rsidRPr="000A7FD1">
        <w:t>, for material line item</w:t>
      </w:r>
      <w:r w:rsidR="005B3933" w:rsidRPr="000A7FD1">
        <w:t>s</w:t>
      </w:r>
      <w:r w:rsidR="00C90F89" w:rsidRPr="000A7FD1">
        <w:t>, account</w:t>
      </w:r>
      <w:r w:rsidR="005B3933" w:rsidRPr="000A7FD1">
        <w:t>s</w:t>
      </w:r>
      <w:r w:rsidR="00C90F89" w:rsidRPr="000A7FD1">
        <w:t>, note disclosure</w:t>
      </w:r>
      <w:r w:rsidR="005B3933" w:rsidRPr="000A7FD1">
        <w:t>s</w:t>
      </w:r>
      <w:r w:rsidR="00C90F89" w:rsidRPr="000A7FD1">
        <w:t>, and class</w:t>
      </w:r>
      <w:r w:rsidR="005B3933" w:rsidRPr="000A7FD1">
        <w:t>es</w:t>
      </w:r>
      <w:r w:rsidR="00C90F89" w:rsidRPr="000A7FD1">
        <w:t xml:space="preserve"> of transactions,</w:t>
      </w:r>
    </w:p>
    <w:p w14:paraId="6845249A" w14:textId="686DE1FB" w:rsidR="00C90F89" w:rsidRPr="000A7FD1" w:rsidRDefault="009A0329" w:rsidP="000D1813">
      <w:pPr>
        <w:pStyle w:val="FAM-Subsection"/>
        <w:widowControl/>
        <w:numPr>
          <w:ilvl w:val="0"/>
          <w:numId w:val="78"/>
        </w:numPr>
        <w:adjustRightInd/>
        <w:ind w:left="1800"/>
        <w:textAlignment w:val="auto"/>
      </w:pPr>
      <w:r w:rsidRPr="000A7FD1">
        <w:t xml:space="preserve">the </w:t>
      </w:r>
      <w:r w:rsidR="00735F89" w:rsidRPr="000A7FD1">
        <w:t xml:space="preserve">identified </w:t>
      </w:r>
      <w:r w:rsidR="00B66304" w:rsidRPr="000A7FD1">
        <w:t>risks of material misstatement</w:t>
      </w:r>
      <w:r w:rsidR="003B7182" w:rsidRPr="000A7FD1">
        <w:t xml:space="preserve"> </w:t>
      </w:r>
      <w:r w:rsidR="00735F89" w:rsidRPr="000A7FD1">
        <w:t xml:space="preserve">at the assertion level and </w:t>
      </w:r>
    </w:p>
    <w:p w14:paraId="3E38F443" w14:textId="754A31C7" w:rsidR="00C90F89" w:rsidRPr="000A7FD1" w:rsidRDefault="00735F89" w:rsidP="000D1813">
      <w:pPr>
        <w:pStyle w:val="FAM-Subsection"/>
        <w:widowControl/>
        <w:numPr>
          <w:ilvl w:val="0"/>
          <w:numId w:val="78"/>
        </w:numPr>
        <w:adjustRightInd/>
        <w:ind w:left="1800"/>
        <w:textAlignment w:val="auto"/>
      </w:pPr>
      <w:r w:rsidRPr="000A7FD1">
        <w:t xml:space="preserve">the control objectives </w:t>
      </w:r>
      <w:r w:rsidR="00503B03" w:rsidRPr="000A7FD1">
        <w:t xml:space="preserve">and control activities </w:t>
      </w:r>
      <w:r w:rsidRPr="000A7FD1">
        <w:t>that address those risks</w:t>
      </w:r>
      <w:r w:rsidR="00503B03" w:rsidRPr="000A7FD1">
        <w:t xml:space="preserve"> for which inherent risk is more than remote</w:t>
      </w:r>
      <w:r w:rsidR="009A0329" w:rsidRPr="000A7FD1">
        <w:t xml:space="preserve">. </w:t>
      </w:r>
    </w:p>
    <w:p w14:paraId="5C312663" w14:textId="31F02FCB" w:rsidR="00F64F84" w:rsidRPr="000A7FD1" w:rsidRDefault="00C90F89" w:rsidP="00C90F89">
      <w:pPr>
        <w:pStyle w:val="FAM-Subsection"/>
        <w:widowControl/>
        <w:numPr>
          <w:ilvl w:val="0"/>
          <w:numId w:val="0"/>
        </w:numPr>
        <w:adjustRightInd/>
        <w:ind w:left="1440"/>
        <w:textAlignment w:val="auto"/>
      </w:pPr>
      <w:r w:rsidRPr="000A7FD1">
        <w:lastRenderedPageBreak/>
        <w:t xml:space="preserve">The auditor should also link each SCE </w:t>
      </w:r>
      <w:r w:rsidR="0060639C" w:rsidRPr="000A7FD1">
        <w:t xml:space="preserve">worksheet </w:t>
      </w:r>
      <w:r w:rsidRPr="000A7FD1">
        <w:t>to the related LIRA</w:t>
      </w:r>
      <w:r w:rsidR="0060639C" w:rsidRPr="000A7FD1">
        <w:t xml:space="preserve"> form(s)</w:t>
      </w:r>
      <w:r w:rsidRPr="000A7FD1">
        <w:t xml:space="preserve"> where the assessment of inherent risk, control risk, and risk of material misstatement is documented</w:t>
      </w:r>
      <w:r w:rsidR="00165C37" w:rsidRPr="000A7FD1">
        <w:t xml:space="preserve">. </w:t>
      </w:r>
      <w:r w:rsidR="009A0329" w:rsidRPr="000A7FD1">
        <w:t xml:space="preserve">See FAM 395 </w:t>
      </w:r>
      <w:r w:rsidR="0061086C" w:rsidRPr="000A7FD1">
        <w:t>G</w:t>
      </w:r>
      <w:r w:rsidR="009A0329" w:rsidRPr="000A7FD1">
        <w:t xml:space="preserve"> </w:t>
      </w:r>
      <w:r w:rsidR="005B3933" w:rsidRPr="000A7FD1">
        <w:t xml:space="preserve">and 395 H for instructions on preparing an SCE </w:t>
      </w:r>
      <w:r w:rsidR="004818B8" w:rsidRPr="000A7FD1">
        <w:t xml:space="preserve">worksheet </w:t>
      </w:r>
      <w:r w:rsidR="005B3933" w:rsidRPr="000A7FD1">
        <w:t>and LIRA</w:t>
      </w:r>
      <w:r w:rsidR="004818B8" w:rsidRPr="000A7FD1">
        <w:t xml:space="preserve"> form</w:t>
      </w:r>
      <w:r w:rsidR="005B3933" w:rsidRPr="000A7FD1">
        <w:t>, respectively</w:t>
      </w:r>
      <w:r w:rsidR="009A0329" w:rsidRPr="000A7FD1">
        <w:t xml:space="preserve">. Sample forms for preparing the LIRA </w:t>
      </w:r>
      <w:r w:rsidR="0029123B" w:rsidRPr="000A7FD1">
        <w:t xml:space="preserve">form </w:t>
      </w:r>
      <w:r w:rsidR="009A0329" w:rsidRPr="000A7FD1">
        <w:t xml:space="preserve">and SCE worksheet electronically are available at </w:t>
      </w:r>
      <w:hyperlink r:id="rId26" w:history="1">
        <w:r w:rsidR="00FB06D2" w:rsidRPr="000A7FD1">
          <w:rPr>
            <w:rStyle w:val="Hyperlink"/>
          </w:rPr>
          <w:t>https://www.gao.gov/financial_audit_manual</w:t>
        </w:r>
      </w:hyperlink>
      <w:r w:rsidR="00437837">
        <w:t xml:space="preserve"> (accessed June 3, 2024).</w:t>
      </w:r>
    </w:p>
    <w:p w14:paraId="70479171" w14:textId="19EE4020" w:rsidR="009A0329" w:rsidRPr="000A7FD1" w:rsidRDefault="009A0329" w:rsidP="00F363DF">
      <w:pPr>
        <w:pStyle w:val="StyleHeading3FAM"/>
      </w:pPr>
      <w:r w:rsidRPr="000A7FD1">
        <w:t>Safeguarding Controls</w:t>
      </w:r>
    </w:p>
    <w:p w14:paraId="04A38B19" w14:textId="13835D44" w:rsidR="009A0329" w:rsidRPr="000A7FD1" w:rsidRDefault="009A0329" w:rsidP="00E638D5">
      <w:pPr>
        <w:pStyle w:val="FAM-Subsection"/>
      </w:pPr>
      <w:r w:rsidRPr="000A7FD1">
        <w:rPr>
          <w:b/>
        </w:rPr>
        <w:t xml:space="preserve">Safeguarding controls </w:t>
      </w:r>
      <w:r w:rsidR="00E638D5" w:rsidRPr="000A7FD1">
        <w:t>related to preventing, or detecting and correcting, unauthorized access (direct or indirect) to assets</w:t>
      </w:r>
      <w:r w:rsidR="00E638D5" w:rsidRPr="000A7FD1" w:rsidDel="0018337A">
        <w:rPr>
          <w:b/>
        </w:rPr>
        <w:t xml:space="preserve"> </w:t>
      </w:r>
      <w:r w:rsidRPr="000A7FD1">
        <w:t xml:space="preserve">are often critical to the effectiveness of controls over liquid (easily sold or traded) and readily marketable assets (such as cash, inventories, or property) that are highly susceptible to theft, loss, or misappropriation in material amounts. These controls are also important when there is an increased risk of fraud. </w:t>
      </w:r>
      <w:r w:rsidRPr="000A7FD1">
        <w:rPr>
          <w:b/>
        </w:rPr>
        <w:t>Before selecting specific control activities to test</w:t>
      </w:r>
      <w:r w:rsidRPr="000A7FD1">
        <w:t xml:space="preserve">, the auditor should determine whether safeguarding controls </w:t>
      </w:r>
      <w:r w:rsidR="00E638D5" w:rsidRPr="000A7FD1">
        <w:t xml:space="preserve">over assets </w:t>
      </w:r>
      <w:r w:rsidRPr="000A7FD1">
        <w:t>are relevant</w:t>
      </w:r>
      <w:r w:rsidR="008458E3" w:rsidRPr="000A7FD1">
        <w:t xml:space="preserve"> and consider materiality of the assets</w:t>
      </w:r>
      <w:r w:rsidRPr="000A7FD1">
        <w:t xml:space="preserve">. </w:t>
      </w:r>
    </w:p>
    <w:p w14:paraId="6727DFB0" w14:textId="0CE0A328" w:rsidR="006372D8" w:rsidRPr="000A7FD1" w:rsidRDefault="009A0329" w:rsidP="004A102E">
      <w:pPr>
        <w:pStyle w:val="FAM-Continuation1"/>
      </w:pPr>
      <w:r w:rsidRPr="000A7FD1">
        <w:t>If the auditor determines that (1) an asset is highly liquid or marketable and (2)</w:t>
      </w:r>
      <w:r w:rsidR="00024876" w:rsidRPr="000A7FD1">
        <w:t> </w:t>
      </w:r>
      <w:r w:rsidRPr="000A7FD1">
        <w:t xml:space="preserve">material amounts are susceptible to theft, loss, or misappropriation, the auditor should include control objectives for safeguarding such assets and understand whether safeguarding controls </w:t>
      </w:r>
      <w:r w:rsidR="00E638D5" w:rsidRPr="000A7FD1">
        <w:t xml:space="preserve">over assets </w:t>
      </w:r>
      <w:r w:rsidRPr="000A7FD1">
        <w:t>have been designed and implemented</w:t>
      </w:r>
      <w:r w:rsidR="00720956" w:rsidRPr="000A7FD1">
        <w:t xml:space="preserve"> effectively</w:t>
      </w:r>
      <w:r w:rsidRPr="000A7FD1">
        <w:t xml:space="preserve"> and</w:t>
      </w:r>
      <w:r w:rsidR="00115C9F" w:rsidRPr="000A7FD1">
        <w:t>,</w:t>
      </w:r>
      <w:r w:rsidRPr="000A7FD1">
        <w:t xml:space="preserve"> if so, should test safeguarding controls</w:t>
      </w:r>
      <w:r w:rsidR="00E638D5" w:rsidRPr="000A7FD1">
        <w:t xml:space="preserve"> over assets</w:t>
      </w:r>
      <w:r w:rsidRPr="000A7FD1">
        <w:t>. On the other hand, if the asset is not liquid or marketable or amounts readily susceptible to theft, loss, or misappropriation are not material, the auditor might not need to understand and test safeguarding controls</w:t>
      </w:r>
      <w:r w:rsidR="00E638D5" w:rsidRPr="000A7FD1">
        <w:t xml:space="preserve"> over assets</w:t>
      </w:r>
      <w:r w:rsidRPr="000A7FD1">
        <w:t xml:space="preserve">. </w:t>
      </w:r>
      <w:r w:rsidR="006372D8" w:rsidRPr="000A7FD1">
        <w:t xml:space="preserve">The auditor may evaluate safeguarding controls </w:t>
      </w:r>
      <w:r w:rsidR="00E638D5" w:rsidRPr="000A7FD1">
        <w:t xml:space="preserve">over assets </w:t>
      </w:r>
      <w:r w:rsidR="006372D8" w:rsidRPr="000A7FD1">
        <w:t xml:space="preserve">in connection with </w:t>
      </w:r>
      <w:r w:rsidR="0018337A" w:rsidRPr="000A7FD1">
        <w:t xml:space="preserve">other </w:t>
      </w:r>
      <w:r w:rsidR="006372D8" w:rsidRPr="000A7FD1">
        <w:t>financial reporting controls.</w:t>
      </w:r>
    </w:p>
    <w:p w14:paraId="111BF90E" w14:textId="4383513B" w:rsidR="009A0329" w:rsidRPr="000A7FD1" w:rsidRDefault="0069524A" w:rsidP="004A102E">
      <w:pPr>
        <w:pStyle w:val="FAM-Continuation1"/>
      </w:pPr>
      <w:r w:rsidRPr="000A7FD1">
        <w:t>The auditor should t</w:t>
      </w:r>
      <w:r w:rsidR="009A0329" w:rsidRPr="000A7FD1">
        <w:t xml:space="preserve">est </w:t>
      </w:r>
      <w:r w:rsidR="00E638D5" w:rsidRPr="000A7FD1">
        <w:t xml:space="preserve">safeguarding controls related to </w:t>
      </w:r>
      <w:r w:rsidR="009A0329" w:rsidRPr="000A7FD1">
        <w:t xml:space="preserve">segregation of duties </w:t>
      </w:r>
      <w:r w:rsidRPr="000A7FD1">
        <w:t xml:space="preserve">controls as </w:t>
      </w:r>
      <w:r w:rsidR="009A0329" w:rsidRPr="000A7FD1">
        <w:t>discussed in FAM 360.</w:t>
      </w:r>
      <w:r w:rsidR="00FB3FD0" w:rsidRPr="000A7FD1">
        <w:t>09</w:t>
      </w:r>
      <w:r w:rsidRPr="000A7FD1">
        <w:t xml:space="preserve"> </w:t>
      </w:r>
      <w:r w:rsidR="00115C9F" w:rsidRPr="000A7FD1">
        <w:t>through .</w:t>
      </w:r>
      <w:r w:rsidR="00CD5550" w:rsidRPr="000A7FD1">
        <w:t>1</w:t>
      </w:r>
      <w:r w:rsidR="00FB3FD0" w:rsidRPr="000A7FD1">
        <w:t>0</w:t>
      </w:r>
      <w:r w:rsidRPr="000A7FD1">
        <w:t>.</w:t>
      </w:r>
    </w:p>
    <w:p w14:paraId="792E3FAF" w14:textId="77777777" w:rsidR="009A0329" w:rsidRPr="000A7FD1" w:rsidRDefault="009A0329" w:rsidP="00F363DF">
      <w:pPr>
        <w:pStyle w:val="StyleHeading3FAM"/>
      </w:pPr>
      <w:r w:rsidRPr="000A7FD1">
        <w:t>Budget Controls</w:t>
      </w:r>
    </w:p>
    <w:p w14:paraId="7E4E2637" w14:textId="68E27B4A" w:rsidR="009A0329" w:rsidRPr="000A7FD1" w:rsidRDefault="009A0329" w:rsidP="004A102E">
      <w:pPr>
        <w:pStyle w:val="FAM-Subsection"/>
      </w:pPr>
      <w:r w:rsidRPr="000A7FD1">
        <w:t xml:space="preserve">The objectives of </w:t>
      </w:r>
      <w:r w:rsidRPr="000A7FD1">
        <w:rPr>
          <w:b/>
        </w:rPr>
        <w:t>budget controls</w:t>
      </w:r>
      <w:r w:rsidRPr="000A7FD1">
        <w:t xml:space="preserve"> are to provide reasonable assurance that the entity (1) properly records, processes, and summarizes transactions to permit the preparation of the statement of budgetary resources and reconciliation of net cost to </w:t>
      </w:r>
      <w:r w:rsidR="002B3D5C" w:rsidRPr="000A7FD1">
        <w:t xml:space="preserve">net outlays </w:t>
      </w:r>
      <w:r w:rsidRPr="000A7FD1">
        <w:t>in accordance with U.S.</w:t>
      </w:r>
      <w:r w:rsidR="002F0BA4" w:rsidRPr="000A7FD1">
        <w:t xml:space="preserve"> </w:t>
      </w:r>
      <w:r w:rsidRPr="000A7FD1">
        <w:t>GAAP and (2) executes transactions in accordance with budget authority. FAM 395 F presents a list of budget control objectives, organized by steps in the budget process. In addition, FAM 395 D presents a list of selected statutes relevant to the budget, and FAM 395 E describes budget steps of interest to the auditor in evaluating an entity’s budget controls. The auditor may document budget control objectives in a separate SCE worksheet for budget controls</w:t>
      </w:r>
      <w:r w:rsidR="004A39D3" w:rsidRPr="000A7FD1">
        <w:t xml:space="preserve"> or</w:t>
      </w:r>
      <w:r w:rsidRPr="000A7FD1">
        <w:t xml:space="preserve"> in a memo</w:t>
      </w:r>
      <w:r w:rsidR="004A44A5" w:rsidRPr="000A7FD1">
        <w:t>,</w:t>
      </w:r>
      <w:r w:rsidRPr="000A7FD1">
        <w:t xml:space="preserve"> or incorporate them in an SCE</w:t>
      </w:r>
      <w:r w:rsidR="00747028" w:rsidRPr="000A7FD1">
        <w:t xml:space="preserve"> worksheet</w:t>
      </w:r>
      <w:r w:rsidRPr="000A7FD1">
        <w:t xml:space="preserve"> with related financial reporting controls. </w:t>
      </w:r>
    </w:p>
    <w:p w14:paraId="171CFFBF" w14:textId="77777777" w:rsidR="009A0329" w:rsidRPr="000A7FD1" w:rsidRDefault="009A0329" w:rsidP="00F363DF">
      <w:pPr>
        <w:pStyle w:val="StyleHeading3FAM"/>
      </w:pPr>
      <w:r w:rsidRPr="000A7FD1">
        <w:t>Compliance Controls</w:t>
      </w:r>
    </w:p>
    <w:p w14:paraId="4E8C0E4A" w14:textId="01FD9A00" w:rsidR="009A0329" w:rsidRPr="000A7FD1" w:rsidRDefault="009A0329" w:rsidP="004A102E">
      <w:pPr>
        <w:pStyle w:val="FAM-Subsection"/>
      </w:pPr>
      <w:r w:rsidRPr="000A7FD1">
        <w:t xml:space="preserve">The objective of </w:t>
      </w:r>
      <w:r w:rsidRPr="000A7FD1">
        <w:rPr>
          <w:b/>
        </w:rPr>
        <w:t>compliance controls</w:t>
      </w:r>
      <w:r w:rsidRPr="000A7FD1">
        <w:t xml:space="preserve"> is to provide reasonable assurance that the entity complies with significant provisions of applicable laws, regulations, contracts, and grant agreements. The auditor should identify compliance control objectives for the related provision identified for testing and may document these objectives in a separate SCE worksheet for compliance controls</w:t>
      </w:r>
      <w:r w:rsidR="004B030F" w:rsidRPr="000A7FD1">
        <w:t xml:space="preserve"> or</w:t>
      </w:r>
      <w:r w:rsidRPr="000A7FD1">
        <w:t xml:space="preserve"> in a memo, or incorporate them in an SCE </w:t>
      </w:r>
      <w:r w:rsidR="00747028" w:rsidRPr="000A7FD1">
        <w:t xml:space="preserve">worksheet </w:t>
      </w:r>
      <w:r w:rsidRPr="000A7FD1">
        <w:t>with related financial reporting controls.</w:t>
      </w:r>
    </w:p>
    <w:p w14:paraId="6E0D06CB" w14:textId="77777777" w:rsidR="009A0329" w:rsidRPr="000A7FD1" w:rsidRDefault="009A0329" w:rsidP="00F363DF">
      <w:pPr>
        <w:pStyle w:val="StyleHeading3FAM"/>
      </w:pPr>
      <w:r w:rsidRPr="000A7FD1">
        <w:lastRenderedPageBreak/>
        <w:t>Operations Controls</w:t>
      </w:r>
    </w:p>
    <w:p w14:paraId="04CA98C1" w14:textId="7EF92F34" w:rsidR="009A0329" w:rsidRPr="000A7FD1" w:rsidRDefault="009A0329" w:rsidP="004A102E">
      <w:pPr>
        <w:pStyle w:val="FAM-Subsection"/>
      </w:pPr>
      <w:r w:rsidRPr="000A7FD1">
        <w:t xml:space="preserve">The objectives of </w:t>
      </w:r>
      <w:r w:rsidRPr="000A7FD1">
        <w:rPr>
          <w:b/>
        </w:rPr>
        <w:t>operations controls</w:t>
      </w:r>
      <w:r w:rsidRPr="000A7FD1">
        <w:t xml:space="preserve"> are to provide reasonable assurance that the entity effectively and efficiently meets its </w:t>
      </w:r>
      <w:r w:rsidR="008458E3" w:rsidRPr="000A7FD1">
        <w:t>mission</w:t>
      </w:r>
      <w:r w:rsidRPr="000A7FD1">
        <w:t>. The auditor should identify control objectives for any operations controls identified for testing and may document operations control objectives in a separate SCE worksheet for operations controls</w:t>
      </w:r>
      <w:r w:rsidR="004B030F" w:rsidRPr="000A7FD1">
        <w:t xml:space="preserve"> or</w:t>
      </w:r>
      <w:r w:rsidRPr="000A7FD1">
        <w:t xml:space="preserve"> in a memo</w:t>
      </w:r>
      <w:r w:rsidR="004A44A5" w:rsidRPr="000A7FD1">
        <w:t>,</w:t>
      </w:r>
      <w:r w:rsidRPr="000A7FD1">
        <w:t xml:space="preserve"> or incorporate them into an SCE </w:t>
      </w:r>
      <w:r w:rsidR="004C4E4E" w:rsidRPr="000A7FD1">
        <w:t xml:space="preserve">worksheet </w:t>
      </w:r>
      <w:r w:rsidRPr="000A7FD1">
        <w:t xml:space="preserve">with related financial reporting controls. </w:t>
      </w:r>
    </w:p>
    <w:p w14:paraId="6B52D317" w14:textId="40306674" w:rsidR="00365683" w:rsidRPr="000A7FD1" w:rsidRDefault="009A0329" w:rsidP="001E3E8C">
      <w:pPr>
        <w:pStyle w:val="FAM-Continuation1"/>
      </w:pPr>
      <w:r w:rsidRPr="000A7FD1">
        <w:t xml:space="preserve">The auditor should test operations controls relied on in performing financial audit procedures, and any others selected for testing by the </w:t>
      </w:r>
      <w:r w:rsidR="00407402" w:rsidRPr="000A7FD1">
        <w:rPr>
          <w:szCs w:val="22"/>
        </w:rPr>
        <w:t xml:space="preserve">engagement </w:t>
      </w:r>
      <w:r w:rsidRPr="000A7FD1">
        <w:t>team, if any. See FAM 275.08 and FAM 495 A.2</w:t>
      </w:r>
      <w:r w:rsidR="00DE61EA" w:rsidRPr="000A7FD1">
        <w:t>0</w:t>
      </w:r>
      <w:r w:rsidR="004C4E4E" w:rsidRPr="000A7FD1">
        <w:t xml:space="preserve"> through .</w:t>
      </w:r>
      <w:r w:rsidRPr="000A7FD1">
        <w:t xml:space="preserve">22 for examples of the auditor using entity-prepared reports for substantive tests, such as substantive analytical procedures, and discussions of tests of related controls over the report data, such as operations controls. </w:t>
      </w:r>
    </w:p>
    <w:p w14:paraId="63791549" w14:textId="77777777" w:rsidR="00E40CAF" w:rsidRPr="000A7FD1" w:rsidRDefault="009A0329" w:rsidP="004A102E">
      <w:pPr>
        <w:pStyle w:val="FAM-Subsection"/>
        <w:numPr>
          <w:ilvl w:val="0"/>
          <w:numId w:val="0"/>
        </w:numPr>
        <w:ind w:left="720"/>
        <w:sectPr w:rsidR="00E40CAF" w:rsidRPr="000A7FD1" w:rsidSect="00666BFE">
          <w:headerReference w:type="even" r:id="rId27"/>
          <w:headerReference w:type="default" r:id="rId28"/>
          <w:footerReference w:type="even" r:id="rId29"/>
          <w:footerReference w:type="default" r:id="rId30"/>
          <w:headerReference w:type="first" r:id="rId31"/>
          <w:footerReference w:type="first" r:id="rId32"/>
          <w:endnotePr>
            <w:numFmt w:val="decimal"/>
          </w:endnotePr>
          <w:pgSz w:w="12240" w:h="15840"/>
          <w:pgMar w:top="1080" w:right="1440" w:bottom="1080" w:left="1080" w:header="720" w:footer="720" w:gutter="360"/>
          <w:pgNumType w:start="1"/>
          <w:cols w:space="720"/>
          <w:noEndnote/>
          <w:docGrid w:linePitch="326"/>
        </w:sectPr>
      </w:pPr>
      <w:r w:rsidRPr="000A7FD1">
        <w:br w:type="page"/>
      </w:r>
    </w:p>
    <w:p w14:paraId="37327C25" w14:textId="53A0B141" w:rsidR="00FB58DD" w:rsidRPr="000A7FD1" w:rsidRDefault="00FB58DD" w:rsidP="00713125">
      <w:pPr>
        <w:pStyle w:val="Heading2FAM"/>
      </w:pPr>
      <w:r w:rsidRPr="000A7FD1">
        <w:lastRenderedPageBreak/>
        <w:t xml:space="preserve">340 </w:t>
      </w:r>
      <w:r w:rsidR="004C25AA" w:rsidRPr="000A7FD1">
        <w:t>–</w:t>
      </w:r>
      <w:r w:rsidRPr="000A7FD1">
        <w:t xml:space="preserve"> Identify and Understand Control Activities</w:t>
      </w:r>
    </w:p>
    <w:p w14:paraId="5AAE7756" w14:textId="415F0014" w:rsidR="00E27690" w:rsidRPr="000A7FD1" w:rsidRDefault="007338D3" w:rsidP="00AB2223">
      <w:pPr>
        <w:pStyle w:val="FAM-Subsection"/>
        <w:numPr>
          <w:ilvl w:val="0"/>
          <w:numId w:val="5"/>
        </w:numPr>
      </w:pPr>
      <w:r w:rsidRPr="000A7FD1">
        <w:t xml:space="preserve">As discussed in FAM 330, for each identified risk of material misstatement </w:t>
      </w:r>
      <w:r w:rsidR="00D4281D" w:rsidRPr="000A7FD1">
        <w:t>at the</w:t>
      </w:r>
      <w:r w:rsidR="0054103D" w:rsidRPr="000A7FD1">
        <w:t xml:space="preserve"> assertion </w:t>
      </w:r>
      <w:r w:rsidR="00D4281D" w:rsidRPr="000A7FD1">
        <w:t xml:space="preserve">level </w:t>
      </w:r>
      <w:r w:rsidR="00BC3422" w:rsidRPr="000A7FD1">
        <w:t>for which inherent risk is</w:t>
      </w:r>
      <w:r w:rsidR="00276601" w:rsidRPr="000A7FD1">
        <w:t xml:space="preserve"> more</w:t>
      </w:r>
      <w:r w:rsidR="00BC3422" w:rsidRPr="000A7FD1">
        <w:t xml:space="preserve"> than remote, </w:t>
      </w:r>
      <w:r w:rsidRPr="000A7FD1">
        <w:t xml:space="preserve">the auditor should identify the control objectives that could prevent, or detect and correct, the potential misstatement. </w:t>
      </w:r>
      <w:r w:rsidR="00C57084" w:rsidRPr="000A7FD1">
        <w:t>For each control objective</w:t>
      </w:r>
      <w:r w:rsidR="00B60796" w:rsidRPr="000A7FD1">
        <w:t xml:space="preserve"> identified</w:t>
      </w:r>
      <w:r w:rsidR="00C57084" w:rsidRPr="000A7FD1">
        <w:t>, based on discussions with entity personnel and the results of other procedures performed, the auditor should identify the control activities that, if effectively designed, implemented, and operating, would allow management to achieve the control objective.</w:t>
      </w:r>
      <w:r w:rsidR="00AB2223" w:rsidRPr="000A7FD1">
        <w:t xml:space="preserve"> </w:t>
      </w:r>
      <w:r w:rsidR="006F6C59" w:rsidRPr="000A7FD1">
        <w:t xml:space="preserve">These </w:t>
      </w:r>
      <w:r w:rsidR="00C57084" w:rsidRPr="000A7FD1">
        <w:t xml:space="preserve">control activities include </w:t>
      </w:r>
    </w:p>
    <w:p w14:paraId="79948823" w14:textId="3F3A6D0B" w:rsidR="00E27690" w:rsidRPr="000A7FD1" w:rsidRDefault="00E27690" w:rsidP="00E27690">
      <w:pPr>
        <w:pStyle w:val="FAM-Subsection"/>
        <w:numPr>
          <w:ilvl w:val="0"/>
          <w:numId w:val="84"/>
        </w:numPr>
        <w:ind w:left="1800"/>
      </w:pPr>
      <w:r w:rsidRPr="000A7FD1">
        <w:t>controls in the control environment, entity risk assessment, information and communication, and monitoring components that directly address the risks of material misstatement at the assertion level (see FAM 360.19) and</w:t>
      </w:r>
    </w:p>
    <w:p w14:paraId="37BFCC1F" w14:textId="70447B24" w:rsidR="009C4904" w:rsidRPr="000A7FD1" w:rsidRDefault="00E27690" w:rsidP="00E27690">
      <w:pPr>
        <w:pStyle w:val="FAM-Subsection"/>
        <w:numPr>
          <w:ilvl w:val="0"/>
          <w:numId w:val="84"/>
        </w:numPr>
        <w:ind w:left="1800"/>
      </w:pPr>
      <w:r w:rsidRPr="000A7FD1">
        <w:t>t</w:t>
      </w:r>
      <w:r w:rsidR="009C4904" w:rsidRPr="000A7FD1">
        <w:t xml:space="preserve">hose that are </w:t>
      </w:r>
      <w:r w:rsidR="00C57084" w:rsidRPr="000A7FD1">
        <w:t>designed and implemented by a service organization used by the entity</w:t>
      </w:r>
      <w:r w:rsidRPr="000A7FD1">
        <w:t xml:space="preserve"> (s</w:t>
      </w:r>
      <w:r w:rsidR="009C4904" w:rsidRPr="000A7FD1">
        <w:t>ee FAM 640</w:t>
      </w:r>
      <w:r w:rsidRPr="000A7FD1">
        <w:t>)</w:t>
      </w:r>
      <w:r w:rsidR="009C4904" w:rsidRPr="000A7FD1">
        <w:t>.</w:t>
      </w:r>
    </w:p>
    <w:p w14:paraId="757B183D" w14:textId="25790B4C" w:rsidR="00993AC4" w:rsidRPr="000A7FD1" w:rsidRDefault="00025E54" w:rsidP="00993AC4">
      <w:pPr>
        <w:pStyle w:val="FAM-Subsection"/>
        <w:numPr>
          <w:ilvl w:val="0"/>
          <w:numId w:val="5"/>
        </w:numPr>
      </w:pPr>
      <w:r w:rsidRPr="000A7FD1">
        <w:t>The auditor should determine whether the control activities identified depend on information system processing. A dependency on information system processing exists if a control activity cannot reasonably be expected to achieve a specific control objective without effective information system processing—either in the performance of the control activity or in the production of information used in the performance of the control activity. Because of the technical nature of many IS controls, the auditor generally should obtain assistance from an IS controls auditor in understanding the entity’s use of information system</w:t>
      </w:r>
      <w:r w:rsidR="00231087" w:rsidRPr="000A7FD1">
        <w:t xml:space="preserve"> processing</w:t>
      </w:r>
      <w:r w:rsidRPr="000A7FD1">
        <w:t xml:space="preserve"> and in planning, directing, or performing audit procedures related to assessing IS controls. For example, an IS controls auditor may assist the auditor in identifying and understanding the design of application controls and general controls implemented at the entity-wide, system, and application levels that help ensure the effective operation of the control activities that depend on information system processing. Additionally, an information technology specialist may assist the auditor in understanding technical aspects of information system </w:t>
      </w:r>
      <w:r w:rsidR="000F3EF5" w:rsidRPr="000A7FD1">
        <w:t xml:space="preserve">processing </w:t>
      </w:r>
      <w:r w:rsidRPr="000A7FD1">
        <w:t xml:space="preserve">and IS controls. </w:t>
      </w:r>
    </w:p>
    <w:p w14:paraId="7DA361D0" w14:textId="03EE2B82" w:rsidR="00FB58DD" w:rsidRPr="000A7FD1" w:rsidRDefault="00BB56A6" w:rsidP="004A102E">
      <w:pPr>
        <w:pStyle w:val="FAMSubsection"/>
      </w:pPr>
      <w:r w:rsidRPr="000A7FD1">
        <w:t>Based on AU-C 315.30</w:t>
      </w:r>
      <w:r w:rsidR="0093224D" w:rsidRPr="000A7FD1">
        <w:t>a</w:t>
      </w:r>
      <w:r w:rsidRPr="000A7FD1">
        <w:t>, t</w:t>
      </w:r>
      <w:r w:rsidR="00FB58DD" w:rsidRPr="000A7FD1">
        <w:t>he auditor should obtain a sufficient understanding of the design of control activities to determine whether they are likely to achieve the control objectives</w:t>
      </w:r>
      <w:r w:rsidRPr="000A7FD1">
        <w:t xml:space="preserve"> </w:t>
      </w:r>
      <w:r w:rsidR="004D2481" w:rsidRPr="000A7FD1">
        <w:t xml:space="preserve">(i.e., </w:t>
      </w:r>
      <w:r w:rsidR="00EA5A92" w:rsidRPr="000A7FD1">
        <w:t xml:space="preserve">effectively </w:t>
      </w:r>
      <w:r w:rsidR="005A6C2A" w:rsidRPr="000A7FD1">
        <w:t xml:space="preserve">designed to </w:t>
      </w:r>
      <w:r w:rsidRPr="000A7FD1">
        <w:t>address the risk of material misstatement at the assertion level or effectively designed to support</w:t>
      </w:r>
      <w:r w:rsidR="00EA5A92" w:rsidRPr="000A7FD1">
        <w:t xml:space="preserve"> the operation of other control activities</w:t>
      </w:r>
      <w:r w:rsidR="004D2481" w:rsidRPr="000A7FD1">
        <w:t>)</w:t>
      </w:r>
      <w:r w:rsidR="00FB58DD" w:rsidRPr="000A7FD1">
        <w:t xml:space="preserve">, assuming </w:t>
      </w:r>
      <w:r w:rsidR="00FB58DD" w:rsidRPr="000A7FD1" w:rsidDel="004D2481">
        <w:t xml:space="preserve">an effective control environment, entity risk assessment, </w:t>
      </w:r>
      <w:r w:rsidR="0046070B" w:rsidRPr="000A7FD1" w:rsidDel="004D2481">
        <w:t xml:space="preserve">information and </w:t>
      </w:r>
      <w:r w:rsidR="00FB58DD" w:rsidRPr="000A7FD1" w:rsidDel="004D2481">
        <w:t>communication, monitoring, appropriate segregation of duties, and effective general controls. The purpose of this assumption is for the auditor to identify any deficiencies in the specific control activities of the entity that the auditor should report</w:t>
      </w:r>
      <w:r w:rsidR="00E83531" w:rsidRPr="000A7FD1" w:rsidDel="004D2481">
        <w:t>,</w:t>
      </w:r>
      <w:r w:rsidR="00FB58DD" w:rsidRPr="000A7FD1" w:rsidDel="004D2481">
        <w:t xml:space="preserve"> as discussed in FAM 580</w:t>
      </w:r>
      <w:r w:rsidR="00E83531" w:rsidRPr="000A7FD1" w:rsidDel="004D2481">
        <w:t>,</w:t>
      </w:r>
      <w:r w:rsidR="00FB58DD" w:rsidRPr="000A7FD1" w:rsidDel="004D2481">
        <w:t xml:space="preserve"> and recommend that the entity correct. Often only multiple control activities, together with other </w:t>
      </w:r>
      <w:r w:rsidR="00954F41" w:rsidRPr="000A7FD1" w:rsidDel="004D2481">
        <w:t xml:space="preserve">components </w:t>
      </w:r>
      <w:r w:rsidR="00FB58DD" w:rsidRPr="000A7FD1" w:rsidDel="004D2481">
        <w:t>of internal control</w:t>
      </w:r>
      <w:r w:rsidR="0046070B" w:rsidRPr="000A7FD1" w:rsidDel="004D2481">
        <w:t xml:space="preserve"> (control environment, </w:t>
      </w:r>
      <w:r w:rsidR="00DB54AE" w:rsidRPr="000A7FD1" w:rsidDel="004D2481">
        <w:t xml:space="preserve">entity </w:t>
      </w:r>
      <w:r w:rsidR="0046070B" w:rsidRPr="000A7FD1" w:rsidDel="004D2481">
        <w:t>risk assessment, information and communication, and monitoring)</w:t>
      </w:r>
      <w:r w:rsidR="00362854" w:rsidRPr="000A7FD1" w:rsidDel="004D2481">
        <w:t>,</w:t>
      </w:r>
      <w:r w:rsidR="00FB58DD" w:rsidRPr="000A7FD1" w:rsidDel="004D2481">
        <w:t xml:space="preserve"> will be sufficient to address a risk. </w:t>
      </w:r>
    </w:p>
    <w:p w14:paraId="02B8078E" w14:textId="3E2E5094" w:rsidR="008035A3" w:rsidRPr="000A7FD1" w:rsidRDefault="008035A3" w:rsidP="004A102E">
      <w:pPr>
        <w:pStyle w:val="FAMSubsection"/>
      </w:pPr>
      <w:r w:rsidRPr="000A7FD1">
        <w:t xml:space="preserve">For accounting estimates, the auditor should </w:t>
      </w:r>
      <w:r w:rsidR="001D160F" w:rsidRPr="000A7FD1">
        <w:t xml:space="preserve">identify and </w:t>
      </w:r>
      <w:r w:rsidRPr="000A7FD1">
        <w:t xml:space="preserve">obtain an understanding of </w:t>
      </w:r>
      <w:r w:rsidR="00F85C7B" w:rsidRPr="000A7FD1">
        <w:t>control activities related to</w:t>
      </w:r>
    </w:p>
    <w:p w14:paraId="259DA0B1" w14:textId="6307C84E" w:rsidR="004A27D1" w:rsidRPr="000A7FD1" w:rsidRDefault="004A27D1" w:rsidP="000D1813">
      <w:pPr>
        <w:pStyle w:val="FAM-Subsection"/>
        <w:numPr>
          <w:ilvl w:val="0"/>
          <w:numId w:val="74"/>
        </w:numPr>
        <w:tabs>
          <w:tab w:val="clear" w:pos="1440"/>
          <w:tab w:val="num" w:pos="1980"/>
        </w:tabs>
        <w:ind w:left="1800" w:hanging="360"/>
      </w:pPr>
      <w:r w:rsidRPr="000A7FD1">
        <w:t>management’s process for making accounting estimates (AU-C 540.12i)</w:t>
      </w:r>
      <w:r w:rsidR="00190AB6" w:rsidRPr="000A7FD1">
        <w:t xml:space="preserve"> </w:t>
      </w:r>
      <w:r w:rsidR="00F85C7B" w:rsidRPr="000A7FD1">
        <w:t>and</w:t>
      </w:r>
    </w:p>
    <w:p w14:paraId="2B2A7EA5" w14:textId="451D331B" w:rsidR="004A27D1" w:rsidRPr="000A7FD1" w:rsidRDefault="004A27D1" w:rsidP="000D1813">
      <w:pPr>
        <w:pStyle w:val="FAM-Subsection"/>
        <w:numPr>
          <w:ilvl w:val="0"/>
          <w:numId w:val="74"/>
        </w:numPr>
        <w:tabs>
          <w:tab w:val="clear" w:pos="1440"/>
          <w:tab w:val="num" w:pos="1980"/>
        </w:tabs>
        <w:ind w:left="1800" w:hanging="360"/>
      </w:pPr>
      <w:r w:rsidRPr="000A7FD1">
        <w:lastRenderedPageBreak/>
        <w:t>how management reviews the outcomes of previous accounting estimates and responds to the results of that review (AU-C 540.12j)</w:t>
      </w:r>
      <w:r w:rsidR="00F85C7B" w:rsidRPr="000A7FD1">
        <w:t>.</w:t>
      </w:r>
    </w:p>
    <w:p w14:paraId="3B63784E" w14:textId="2805BABD" w:rsidR="000F3EF5" w:rsidRPr="000A7FD1" w:rsidRDefault="004A27D1" w:rsidP="000F3EF5">
      <w:pPr>
        <w:pStyle w:val="FAM-Subsection"/>
        <w:tabs>
          <w:tab w:val="num" w:pos="1800"/>
        </w:tabs>
        <w:adjustRightInd/>
        <w:textAlignment w:val="auto"/>
      </w:pPr>
      <w:r w:rsidRPr="000A7FD1">
        <w:t xml:space="preserve">For relationships and transactions with disclosure entities, related parties, and public-private partnerships, </w:t>
      </w:r>
      <w:r w:rsidR="000F3EF5" w:rsidRPr="000A7FD1">
        <w:t xml:space="preserve">the auditor should </w:t>
      </w:r>
      <w:r w:rsidR="00213B68" w:rsidRPr="000A7FD1">
        <w:t xml:space="preserve">identify and </w:t>
      </w:r>
      <w:r w:rsidR="000F3EF5" w:rsidRPr="000A7FD1">
        <w:t xml:space="preserve">obtain an understanding of control activities, if any, </w:t>
      </w:r>
      <w:r w:rsidR="00A64642" w:rsidRPr="000A7FD1">
        <w:t xml:space="preserve">established </w:t>
      </w:r>
      <w:r w:rsidR="000F3EF5" w:rsidRPr="000A7FD1">
        <w:t>to</w:t>
      </w:r>
    </w:p>
    <w:p w14:paraId="720B2E3C" w14:textId="77777777" w:rsidR="000F3EF5" w:rsidRPr="000A7FD1" w:rsidRDefault="000F3EF5" w:rsidP="000D1813">
      <w:pPr>
        <w:pStyle w:val="FAM-Bullet-1"/>
        <w:widowControl/>
        <w:numPr>
          <w:ilvl w:val="0"/>
          <w:numId w:val="82"/>
        </w:numPr>
        <w:adjustRightInd/>
        <w:textAlignment w:val="auto"/>
      </w:pPr>
      <w:r w:rsidRPr="000A7FD1">
        <w:t>identify, account for, and disclose the relationships and transactions with disclosure entities, related parties, and public-private partnerships;</w:t>
      </w:r>
    </w:p>
    <w:p w14:paraId="31F9B533" w14:textId="77777777" w:rsidR="000F3EF5" w:rsidRPr="000A7FD1" w:rsidRDefault="000F3EF5" w:rsidP="000D1813">
      <w:pPr>
        <w:pStyle w:val="FAM-Bullet-1"/>
        <w:widowControl/>
        <w:numPr>
          <w:ilvl w:val="0"/>
          <w:numId w:val="82"/>
        </w:numPr>
        <w:adjustRightInd/>
        <w:textAlignment w:val="auto"/>
      </w:pPr>
      <w:r w:rsidRPr="000A7FD1">
        <w:t xml:space="preserve">authorize and approve significant transactions and arrangements with disclosure entities, related parties, and public-private partnerships; and </w:t>
      </w:r>
    </w:p>
    <w:p w14:paraId="53A933AD" w14:textId="77777777" w:rsidR="000F3EF5" w:rsidRPr="000A7FD1" w:rsidRDefault="000F3EF5" w:rsidP="000D1813">
      <w:pPr>
        <w:pStyle w:val="FAM-Bullet-1"/>
        <w:widowControl/>
        <w:numPr>
          <w:ilvl w:val="0"/>
          <w:numId w:val="82"/>
        </w:numPr>
        <w:adjustRightInd/>
        <w:textAlignment w:val="auto"/>
      </w:pPr>
      <w:r w:rsidRPr="000A7FD1">
        <w:t>authorize and approve significant unusual transactions and arrangements outside the normal course of business (AU-C 550.15).</w:t>
      </w:r>
    </w:p>
    <w:p w14:paraId="1D305EFF" w14:textId="02085C99" w:rsidR="000F3EF5" w:rsidRPr="000A7FD1" w:rsidRDefault="00A64642" w:rsidP="000F3EF5">
      <w:pPr>
        <w:pStyle w:val="FAM-Bullet-1"/>
        <w:ind w:left="1440"/>
      </w:pPr>
      <w:r w:rsidRPr="000A7FD1">
        <w:t xml:space="preserve">As part of understanding the controls, the auditor </w:t>
      </w:r>
      <w:r w:rsidR="000F3EF5" w:rsidRPr="000A7FD1">
        <w:t xml:space="preserve">should </w:t>
      </w:r>
      <w:r w:rsidRPr="000A7FD1">
        <w:t>inquire</w:t>
      </w:r>
      <w:r w:rsidR="000F3EF5" w:rsidRPr="000A7FD1">
        <w:t xml:space="preserve"> about any transactions with disclosure entities, related parties, and public-private partnerships</w:t>
      </w:r>
    </w:p>
    <w:p w14:paraId="63B92CBC" w14:textId="77777777" w:rsidR="000F3EF5" w:rsidRPr="000A7FD1" w:rsidRDefault="000F3EF5" w:rsidP="000D1813">
      <w:pPr>
        <w:pStyle w:val="FAM-Bullet-1"/>
        <w:widowControl/>
        <w:numPr>
          <w:ilvl w:val="1"/>
          <w:numId w:val="75"/>
        </w:numPr>
        <w:adjustRightInd/>
        <w:textAlignment w:val="auto"/>
      </w:pPr>
      <w:r w:rsidRPr="000A7FD1">
        <w:t>that have not been authorized and approved in accordance with the entity’s established policies or procedures regarding the authorization and approval of such transactions and</w:t>
      </w:r>
    </w:p>
    <w:p w14:paraId="48F2F3E4" w14:textId="51F608CE" w:rsidR="004A27D1" w:rsidRPr="000A7FD1" w:rsidRDefault="000F3EF5" w:rsidP="000D1813">
      <w:pPr>
        <w:pStyle w:val="FAM-Subsection"/>
        <w:numPr>
          <w:ilvl w:val="1"/>
          <w:numId w:val="75"/>
        </w:numPr>
        <w:adjustRightInd/>
        <w:textAlignment w:val="auto"/>
      </w:pPr>
      <w:r w:rsidRPr="000A7FD1">
        <w:t>for which exceptions to the entity’s established policies or procedures were granted and the reasons for granting those exceptions (AU-C 550.15).</w:t>
      </w:r>
    </w:p>
    <w:p w14:paraId="46B4C901" w14:textId="700A4DBF" w:rsidR="00957538" w:rsidRPr="000A7FD1" w:rsidRDefault="00957538" w:rsidP="00957538">
      <w:pPr>
        <w:pStyle w:val="FAM-Subsection"/>
      </w:pPr>
      <w:r w:rsidRPr="000A7FD1">
        <w:t xml:space="preserve">Based on AU-C 315.27, the auditor should </w:t>
      </w:r>
      <w:r w:rsidR="00D8187A" w:rsidRPr="000A7FD1">
        <w:t xml:space="preserve">identify and </w:t>
      </w:r>
      <w:r w:rsidRPr="000A7FD1">
        <w:t xml:space="preserve">obtain an understanding of </w:t>
      </w:r>
    </w:p>
    <w:p w14:paraId="08868EE1" w14:textId="3C9C4D60" w:rsidR="00C30F28" w:rsidRPr="000A7FD1" w:rsidRDefault="00C30F28" w:rsidP="000D1813">
      <w:pPr>
        <w:pStyle w:val="FAM-Subsection"/>
        <w:numPr>
          <w:ilvl w:val="1"/>
          <w:numId w:val="81"/>
        </w:numPr>
        <w:ind w:left="1800"/>
      </w:pPr>
      <w:r w:rsidRPr="000A7FD1">
        <w:t xml:space="preserve">control activities over journal entries and other adjustments that address </w:t>
      </w:r>
      <w:r w:rsidR="002C609A" w:rsidRPr="000A7FD1">
        <w:t xml:space="preserve">the </w:t>
      </w:r>
      <w:r w:rsidRPr="000A7FD1">
        <w:t>risk of management override of controls (see FAM 265</w:t>
      </w:r>
      <w:r w:rsidR="002C609A" w:rsidRPr="000A7FD1">
        <w:t>.54a</w:t>
      </w:r>
      <w:r w:rsidRPr="000A7FD1">
        <w:t xml:space="preserve">); </w:t>
      </w:r>
    </w:p>
    <w:p w14:paraId="2D240D6E" w14:textId="4C8696C4" w:rsidR="00C30F28" w:rsidRPr="000A7FD1" w:rsidRDefault="00C30F28" w:rsidP="000D1813">
      <w:pPr>
        <w:pStyle w:val="FAM-Subsection"/>
        <w:widowControl/>
        <w:numPr>
          <w:ilvl w:val="1"/>
          <w:numId w:val="81"/>
        </w:numPr>
        <w:adjustRightInd/>
        <w:ind w:left="1800"/>
        <w:textAlignment w:val="auto"/>
      </w:pPr>
      <w:r w:rsidRPr="000A7FD1">
        <w:t xml:space="preserve">control activities that address a risk that is determined to be a significant risk (see </w:t>
      </w:r>
      <w:r w:rsidR="00397835" w:rsidRPr="000A7FD1">
        <w:t>Identify</w:t>
      </w:r>
      <w:r w:rsidRPr="000A7FD1">
        <w:t xml:space="preserve"> and Respond to Significant Risks section in FAM 265); and</w:t>
      </w:r>
    </w:p>
    <w:p w14:paraId="5B23F792" w14:textId="6BEE5184" w:rsidR="00C30F28" w:rsidRPr="000A7FD1" w:rsidRDefault="00C30F28" w:rsidP="000D1813">
      <w:pPr>
        <w:pStyle w:val="FAM-Subsection"/>
        <w:widowControl/>
        <w:numPr>
          <w:ilvl w:val="1"/>
          <w:numId w:val="81"/>
        </w:numPr>
        <w:adjustRightInd/>
        <w:ind w:left="1800"/>
        <w:textAlignment w:val="auto"/>
      </w:pPr>
      <w:r w:rsidRPr="000A7FD1">
        <w:t>other control</w:t>
      </w:r>
      <w:r w:rsidR="00EE2ECA" w:rsidRPr="000A7FD1">
        <w:t xml:space="preserve"> activities</w:t>
      </w:r>
      <w:r w:rsidRPr="000A7FD1">
        <w:t xml:space="preserve"> that based on the auditor’s professional judgment the auditor considers are appropriate to enable the auditor to assess the risks of material misstatement at the assertion level and to design further audit procedures.</w:t>
      </w:r>
      <w:r w:rsidR="00EE2ECA" w:rsidRPr="000A7FD1">
        <w:t xml:space="preserve"> These may include control activities related to reconciling detailed records to the general ledger and complementary user entity </w:t>
      </w:r>
      <w:proofErr w:type="gramStart"/>
      <w:r w:rsidR="00EE2ECA" w:rsidRPr="000A7FD1">
        <w:t>controls, if</w:t>
      </w:r>
      <w:proofErr w:type="gramEnd"/>
      <w:r w:rsidR="00EE2ECA" w:rsidRPr="000A7FD1">
        <w:t xml:space="preserve"> the entity uses a service organization</w:t>
      </w:r>
      <w:r w:rsidR="0041013F" w:rsidRPr="000A7FD1">
        <w:t xml:space="preserve"> (AU-C 315.A187)</w:t>
      </w:r>
      <w:r w:rsidR="00EE2ECA" w:rsidRPr="000A7FD1">
        <w:t>.</w:t>
      </w:r>
    </w:p>
    <w:p w14:paraId="605CA39A" w14:textId="3FA5C225" w:rsidR="00724544" w:rsidRPr="000A7FD1" w:rsidRDefault="00724544" w:rsidP="00957538">
      <w:pPr>
        <w:pStyle w:val="FAM-Subsection"/>
      </w:pPr>
      <w:r w:rsidRPr="000A7FD1">
        <w:t xml:space="preserve">Based on </w:t>
      </w:r>
      <w:r w:rsidR="00817032" w:rsidRPr="000A7FD1">
        <w:t xml:space="preserve">the </w:t>
      </w:r>
      <w:r w:rsidRPr="000A7FD1">
        <w:t>control activities identified in</w:t>
      </w:r>
      <w:r w:rsidR="00817032" w:rsidRPr="000A7FD1">
        <w:t xml:space="preserve"> FAM 340.06</w:t>
      </w:r>
      <w:r w:rsidRPr="000A7FD1">
        <w:t xml:space="preserve">, the auditor should identify aspects of the entity’s information technology environment that are subject to risks arising from the use of information technology (AU-C 315.28). For these aspects, the auditor should identify the </w:t>
      </w:r>
    </w:p>
    <w:p w14:paraId="3BD78F27" w14:textId="77777777" w:rsidR="00724544" w:rsidRPr="000A7FD1" w:rsidRDefault="00724544" w:rsidP="000D1813">
      <w:pPr>
        <w:pStyle w:val="FAM-Subsection"/>
        <w:numPr>
          <w:ilvl w:val="0"/>
          <w:numId w:val="80"/>
        </w:numPr>
        <w:ind w:left="1800"/>
      </w:pPr>
      <w:r w:rsidRPr="000A7FD1">
        <w:t xml:space="preserve">related risks arising from the use of information technology and </w:t>
      </w:r>
    </w:p>
    <w:p w14:paraId="20828ECE" w14:textId="77777777" w:rsidR="009D66E0" w:rsidRPr="000A7FD1" w:rsidRDefault="00724544" w:rsidP="000D1813">
      <w:pPr>
        <w:pStyle w:val="FAM-Subsection"/>
        <w:numPr>
          <w:ilvl w:val="0"/>
          <w:numId w:val="80"/>
        </w:numPr>
        <w:ind w:left="1800"/>
      </w:pPr>
      <w:r w:rsidRPr="000A7FD1">
        <w:t>entity’s general controls that address such risks (AU-C 315.29)</w:t>
      </w:r>
      <w:r w:rsidR="009D66E0" w:rsidRPr="000A7FD1">
        <w:t>.</w:t>
      </w:r>
    </w:p>
    <w:p w14:paraId="034B9574" w14:textId="3F966D1B" w:rsidR="00C30F28" w:rsidRPr="000A7FD1" w:rsidRDefault="009D66E0" w:rsidP="009D66E0">
      <w:pPr>
        <w:pStyle w:val="FAM-Subsection"/>
        <w:numPr>
          <w:ilvl w:val="0"/>
          <w:numId w:val="0"/>
        </w:numPr>
        <w:ind w:left="1440"/>
      </w:pPr>
      <w:r w:rsidRPr="000A7FD1">
        <w:t xml:space="preserve">See Effect of Information Technology on Internal Control section in FAM 260 </w:t>
      </w:r>
      <w:r w:rsidR="00724544" w:rsidRPr="000A7FD1">
        <w:t xml:space="preserve"> </w:t>
      </w:r>
      <w:r w:rsidRPr="000A7FD1">
        <w:t>and Test IS Controls section in FAM 360 for further guidance.</w:t>
      </w:r>
    </w:p>
    <w:p w14:paraId="7FEC6B75" w14:textId="77777777" w:rsidR="00FB58DD" w:rsidRPr="000A7FD1" w:rsidRDefault="00FB58DD" w:rsidP="00F363DF">
      <w:pPr>
        <w:pStyle w:val="StyleHeading3FAM"/>
      </w:pPr>
      <w:r w:rsidRPr="000A7FD1">
        <w:t>Factors to Consider</w:t>
      </w:r>
    </w:p>
    <w:p w14:paraId="7AD18317" w14:textId="5DCE2FF6" w:rsidR="00FB58DD" w:rsidRPr="000A7FD1" w:rsidRDefault="00FB58DD" w:rsidP="00A05B32">
      <w:pPr>
        <w:pStyle w:val="FAMSubsection"/>
      </w:pPr>
      <w:r w:rsidRPr="000A7FD1">
        <w:t>When evaluating whether control</w:t>
      </w:r>
      <w:r w:rsidR="000B7EE5" w:rsidRPr="000A7FD1">
        <w:t xml:space="preserve"> activitie</w:t>
      </w:r>
      <w:r w:rsidRPr="000A7FD1">
        <w:t>s are likely to achieve the control objectives, the factors that the auditor should consider include</w:t>
      </w:r>
      <w:r w:rsidR="00713125" w:rsidRPr="000A7FD1">
        <w:t xml:space="preserve"> </w:t>
      </w:r>
      <w:r w:rsidRPr="000A7FD1">
        <w:t>directness, selectivity,</w:t>
      </w:r>
      <w:r w:rsidR="00FE3984" w:rsidRPr="000A7FD1">
        <w:t xml:space="preserve"> </w:t>
      </w:r>
      <w:r w:rsidRPr="000A7FD1">
        <w:t xml:space="preserve">manner of application, and follow-up. In determining whether control </w:t>
      </w:r>
      <w:r w:rsidRPr="000A7FD1">
        <w:lastRenderedPageBreak/>
        <w:t xml:space="preserve">objectives are achieved, the auditor should consider both manual and </w:t>
      </w:r>
      <w:r w:rsidR="005B0528" w:rsidRPr="000A7FD1">
        <w:t>IS</w:t>
      </w:r>
      <w:r w:rsidRPr="000A7FD1">
        <w:t xml:space="preserve"> controls, if </w:t>
      </w:r>
      <w:r w:rsidR="00566912" w:rsidRPr="000A7FD1">
        <w:t xml:space="preserve">they are </w:t>
      </w:r>
      <w:r w:rsidRPr="000A7FD1">
        <w:t>likely to be effective (see FAM 270).</w:t>
      </w:r>
    </w:p>
    <w:p w14:paraId="529EFFAB" w14:textId="18327146" w:rsidR="00FB58DD" w:rsidRPr="000A7FD1" w:rsidRDefault="00FB58DD" w:rsidP="007E54A0">
      <w:pPr>
        <w:pStyle w:val="FAM-Subsection"/>
      </w:pPr>
      <w:r w:rsidRPr="000A7FD1">
        <w:rPr>
          <w:b/>
        </w:rPr>
        <w:t>Directness</w:t>
      </w:r>
      <w:r w:rsidRPr="000A7FD1">
        <w:t xml:space="preserve"> refers to the extent </w:t>
      </w:r>
      <w:r w:rsidR="006135BF" w:rsidRPr="000A7FD1">
        <w:t xml:space="preserve">to which </w:t>
      </w:r>
      <w:r w:rsidRPr="000A7FD1">
        <w:t>a control activity relates to a control objective. The more direct the relationship, the more effective that activity may be in achieving the objective. For example, management reviews of inventory reports that summarize the inventory by storage facility may be less effective in preventing, or detecting and correcting, misstatements in the existence assertion for inventory than a periodic physical inventory, which is more directly related to the existence assertion.</w:t>
      </w:r>
      <w:r w:rsidR="004A165A" w:rsidRPr="000A7FD1">
        <w:t xml:space="preserve"> </w:t>
      </w:r>
      <w:r w:rsidR="00EE0789" w:rsidRPr="000A7FD1">
        <w:t xml:space="preserve"> </w:t>
      </w:r>
    </w:p>
    <w:p w14:paraId="38C315C5" w14:textId="21C580DB" w:rsidR="00FB58DD" w:rsidRPr="000A7FD1" w:rsidRDefault="00FB58DD" w:rsidP="004A102E">
      <w:pPr>
        <w:pStyle w:val="FAM-Subsection"/>
      </w:pPr>
      <w:r w:rsidRPr="000A7FD1">
        <w:rPr>
          <w:b/>
        </w:rPr>
        <w:t>Selectivity</w:t>
      </w:r>
      <w:r w:rsidRPr="000A7FD1">
        <w:t xml:space="preserve"> refers to the magnitude of the amount, or the significance of other criteria or distinguishing characteristics, that a specific control </w:t>
      </w:r>
      <w:r w:rsidR="000B7EE5" w:rsidRPr="000A7FD1">
        <w:t xml:space="preserve">activity </w:t>
      </w:r>
      <w:r w:rsidRPr="000A7FD1">
        <w:t>will identify as an exception condition. Examples of selectivity thresholds are (1) a requirement for additional approvals of all payments to vendors in excess of $25,000 and (2)</w:t>
      </w:r>
      <w:r w:rsidR="00024876" w:rsidRPr="000A7FD1">
        <w:t> </w:t>
      </w:r>
      <w:r w:rsidRPr="000A7FD1">
        <w:t xml:space="preserve">management reviews of all payments to vendors not on an entity’s approved vendor list. When determining whether a control </w:t>
      </w:r>
      <w:r w:rsidR="000B7EE5" w:rsidRPr="000A7FD1">
        <w:t xml:space="preserve">activity </w:t>
      </w:r>
      <w:r w:rsidRPr="000A7FD1">
        <w:t>is likely to be effective, the auditor should evaluate the likelihood that items that do not meet the selectivity threshold could, in the aggregate, result in material misstatements of financial statements</w:t>
      </w:r>
      <w:r w:rsidR="006135BF" w:rsidRPr="000A7FD1">
        <w:t xml:space="preserve">; </w:t>
      </w:r>
      <w:r w:rsidRPr="000A7FD1">
        <w:t>material noncompliance with budget authority</w:t>
      </w:r>
      <w:r w:rsidR="006135BF" w:rsidRPr="000A7FD1">
        <w:t xml:space="preserve">; </w:t>
      </w:r>
      <w:r w:rsidRPr="000A7FD1">
        <w:t>material noncompliance with significant provisions of applicable laws, regulations, contracts, and grant agreements</w:t>
      </w:r>
      <w:r w:rsidR="006135BF" w:rsidRPr="000A7FD1">
        <w:t xml:space="preserve">; </w:t>
      </w:r>
      <w:r w:rsidRPr="000A7FD1">
        <w:t xml:space="preserve">or significant ineffective or inefficient use of resources. </w:t>
      </w:r>
    </w:p>
    <w:p w14:paraId="2F26E775" w14:textId="77777777" w:rsidR="00FB58DD" w:rsidRPr="000A7FD1" w:rsidRDefault="00FB58DD" w:rsidP="004A102E">
      <w:pPr>
        <w:pStyle w:val="FAM-Continuation1"/>
      </w:pPr>
      <w:r w:rsidRPr="000A7FD1">
        <w:t xml:space="preserve">The auditor also should evaluate the appropriateness of the specified criteria used to identify items in a management or exception report. For example, </w:t>
      </w:r>
      <w:r w:rsidR="005B0528" w:rsidRPr="000A7FD1">
        <w:t>IS</w:t>
      </w:r>
      <w:r w:rsidRPr="000A7FD1">
        <w:t xml:space="preserve"> input controls (such as the matching of vendor invoices with receiving reports and purchase orders) that require exact matches of data from different sources before a transaction is accepted for processing may be more effective than controls that accept transactions that fall within a broader range of values. On the other hand, controls based on exception reports that are limited to selected information or use more selective criteria may be more effective than lengthy reports that contain excessive information.</w:t>
      </w:r>
    </w:p>
    <w:p w14:paraId="028A3286" w14:textId="38D43A78" w:rsidR="00FB58DD" w:rsidRPr="000A7FD1" w:rsidRDefault="00FB58DD" w:rsidP="004A102E">
      <w:pPr>
        <w:pStyle w:val="FAM-Subsection"/>
      </w:pPr>
      <w:r w:rsidRPr="000A7FD1">
        <w:rPr>
          <w:b/>
        </w:rPr>
        <w:t>Manner of application</w:t>
      </w:r>
      <w:r w:rsidRPr="000A7FD1">
        <w:t xml:space="preserve"> refers to the way in which an entity places a specific control </w:t>
      </w:r>
      <w:r w:rsidR="000B7EE5" w:rsidRPr="000A7FD1">
        <w:t xml:space="preserve">activity </w:t>
      </w:r>
      <w:r w:rsidRPr="000A7FD1">
        <w:t>into operation. The manner of application can influence the effectiveness of a specific control</w:t>
      </w:r>
      <w:r w:rsidR="000B7EE5" w:rsidRPr="000A7FD1">
        <w:t xml:space="preserve"> activity</w:t>
      </w:r>
      <w:r w:rsidRPr="000A7FD1">
        <w:t>. When determining the effectiveness of control</w:t>
      </w:r>
      <w:r w:rsidR="000B7EE5" w:rsidRPr="000A7FD1">
        <w:t xml:space="preserve"> activitie</w:t>
      </w:r>
      <w:r w:rsidRPr="000A7FD1">
        <w:t>s, the auditor should evaluate</w:t>
      </w:r>
      <w:r w:rsidR="006130FC" w:rsidRPr="000A7FD1">
        <w:t xml:space="preserve"> the following</w:t>
      </w:r>
      <w:r w:rsidRPr="000A7FD1">
        <w:t>:</w:t>
      </w:r>
    </w:p>
    <w:p w14:paraId="0AC0E8F1" w14:textId="1615C17D" w:rsidR="00FB58DD" w:rsidRPr="000A7FD1" w:rsidRDefault="00FB58DD" w:rsidP="000D1813">
      <w:pPr>
        <w:pStyle w:val="FAM-Bullet-1"/>
        <w:numPr>
          <w:ilvl w:val="0"/>
          <w:numId w:val="40"/>
        </w:numPr>
        <w:ind w:left="1800"/>
      </w:pPr>
      <w:r w:rsidRPr="000A7FD1">
        <w:rPr>
          <w:b/>
        </w:rPr>
        <w:t>Frequency of application</w:t>
      </w:r>
      <w:r w:rsidR="00656D2E" w:rsidRPr="000A7FD1">
        <w:rPr>
          <w:b/>
        </w:rPr>
        <w:t>.</w:t>
      </w:r>
      <w:r w:rsidRPr="000A7FD1">
        <w:t xml:space="preserve"> This refers to the regularity with which control</w:t>
      </w:r>
      <w:r w:rsidR="000B7EE5" w:rsidRPr="000A7FD1">
        <w:t xml:space="preserve"> activitie</w:t>
      </w:r>
      <w:r w:rsidRPr="000A7FD1">
        <w:t xml:space="preserve">s are applied. Generally, the more frequently a control </w:t>
      </w:r>
      <w:r w:rsidR="000B7EE5" w:rsidRPr="000A7FD1">
        <w:t xml:space="preserve">activity </w:t>
      </w:r>
      <w:r w:rsidRPr="000A7FD1">
        <w:t>is applied, the greater the likelihood that it will be effective.</w:t>
      </w:r>
    </w:p>
    <w:p w14:paraId="25B52A1D" w14:textId="30BA1816" w:rsidR="00FB58DD" w:rsidRPr="000A7FD1" w:rsidRDefault="00FB58DD" w:rsidP="000D1813">
      <w:pPr>
        <w:pStyle w:val="FAM-Bullet-1"/>
        <w:numPr>
          <w:ilvl w:val="0"/>
          <w:numId w:val="40"/>
        </w:numPr>
        <w:ind w:left="1800"/>
      </w:pPr>
      <w:r w:rsidRPr="000A7FD1">
        <w:rPr>
          <w:b/>
        </w:rPr>
        <w:t>Authority and competence of personnel</w:t>
      </w:r>
      <w:r w:rsidR="00656D2E" w:rsidRPr="000A7FD1">
        <w:rPr>
          <w:b/>
        </w:rPr>
        <w:t>.</w:t>
      </w:r>
      <w:r w:rsidRPr="000A7FD1">
        <w:t xml:space="preserve"> This refers to whether the person </w:t>
      </w:r>
      <w:r w:rsidR="00656D2E" w:rsidRPr="000A7FD1">
        <w:t xml:space="preserve">performing </w:t>
      </w:r>
      <w:r w:rsidRPr="000A7FD1">
        <w:t xml:space="preserve">a control </w:t>
      </w:r>
      <w:r w:rsidR="000B7EE5" w:rsidRPr="000A7FD1">
        <w:t xml:space="preserve">activity </w:t>
      </w:r>
      <w:r w:rsidR="00656D2E" w:rsidRPr="000A7FD1">
        <w:t xml:space="preserve">possesses </w:t>
      </w:r>
      <w:r w:rsidRPr="000A7FD1">
        <w:t xml:space="preserve">the necessary authority and competence to </w:t>
      </w:r>
      <w:r w:rsidR="00AC3269" w:rsidRPr="000A7FD1">
        <w:t>perform</w:t>
      </w:r>
      <w:r w:rsidRPr="000A7FD1">
        <w:t xml:space="preserve"> it</w:t>
      </w:r>
      <w:r w:rsidR="00AC3269" w:rsidRPr="000A7FD1">
        <w:t xml:space="preserve"> </w:t>
      </w:r>
      <w:r w:rsidR="00656D2E" w:rsidRPr="000A7FD1">
        <w:t>effectively (AU-C 330.10a.iii)</w:t>
      </w:r>
      <w:r w:rsidRPr="000A7FD1">
        <w:t xml:space="preserve">. </w:t>
      </w:r>
      <w:r w:rsidR="006130FC" w:rsidRPr="000A7FD1">
        <w:t>If the person has less</w:t>
      </w:r>
      <w:r w:rsidRPr="000A7FD1">
        <w:t xml:space="preserve"> experience and skills or does not have the appropriate authority,</w:t>
      </w:r>
      <w:r w:rsidR="006130FC" w:rsidRPr="000A7FD1">
        <w:t xml:space="preserve"> it is </w:t>
      </w:r>
      <w:r w:rsidRPr="000A7FD1">
        <w:t xml:space="preserve">less likely that the control </w:t>
      </w:r>
      <w:r w:rsidR="000B7EE5" w:rsidRPr="000A7FD1">
        <w:t xml:space="preserve">activity </w:t>
      </w:r>
      <w:r w:rsidRPr="000A7FD1">
        <w:t xml:space="preserve">will be effective. Also, the effective application of a control </w:t>
      </w:r>
      <w:r w:rsidR="000B7EE5" w:rsidRPr="000A7FD1">
        <w:t xml:space="preserve">activity </w:t>
      </w:r>
      <w:r w:rsidRPr="000A7FD1">
        <w:t xml:space="preserve">is generally adversely affected if the technique (1) is performed by an employee </w:t>
      </w:r>
      <w:r w:rsidR="008738B3" w:rsidRPr="000A7FD1">
        <w:t>with</w:t>
      </w:r>
      <w:r w:rsidRPr="000A7FD1">
        <w:t xml:space="preserve"> an excessive volume of work or (2) is not performed carefully.</w:t>
      </w:r>
    </w:p>
    <w:p w14:paraId="321D6CB9" w14:textId="5F693392" w:rsidR="00FB58DD" w:rsidRPr="000A7FD1" w:rsidRDefault="00FB58DD" w:rsidP="004A102E">
      <w:pPr>
        <w:pStyle w:val="FAM-Subsection"/>
      </w:pPr>
      <w:r w:rsidRPr="000A7FD1">
        <w:rPr>
          <w:b/>
        </w:rPr>
        <w:t>Follow-up</w:t>
      </w:r>
      <w:r w:rsidRPr="000A7FD1">
        <w:t xml:space="preserve"> refers to the procedures performed when a control </w:t>
      </w:r>
      <w:r w:rsidR="000B7EE5" w:rsidRPr="000A7FD1">
        <w:t xml:space="preserve">activity </w:t>
      </w:r>
      <w:r w:rsidRPr="000A7FD1">
        <w:t>identifies an exception condition. A control</w:t>
      </w:r>
      <w:r w:rsidR="000B7EE5" w:rsidRPr="000A7FD1">
        <w:t xml:space="preserve"> activity</w:t>
      </w:r>
      <w:r w:rsidRPr="000A7FD1">
        <w:t xml:space="preserve">’s effectiveness depends on the effectiveness of follow-up procedures. To be effective, an entity needs to (1) </w:t>
      </w:r>
      <w:r w:rsidRPr="000A7FD1">
        <w:lastRenderedPageBreak/>
        <w:t xml:space="preserve">apply these procedures on a timely basis, (2) determine whether control exceptions represent misstatements, and (3) correct all misstatements noted. For example, as a control, a </w:t>
      </w:r>
      <w:r w:rsidR="009D2F04" w:rsidRPr="000A7FD1">
        <w:t xml:space="preserve">financial management </w:t>
      </w:r>
      <w:r w:rsidRPr="000A7FD1">
        <w:t>system may identify and put exception transactions into a suspense file or account. Lack of timely follow-up procedures by the entity to (1)</w:t>
      </w:r>
      <w:r w:rsidR="00024876" w:rsidRPr="000A7FD1">
        <w:t> </w:t>
      </w:r>
      <w:r w:rsidRPr="000A7FD1">
        <w:t>reconcile and review the suspense file or account and (2) correct items in the suspense file or account would render the control ineffective.</w:t>
      </w:r>
    </w:p>
    <w:p w14:paraId="2DE0C9C4" w14:textId="61EC60BF" w:rsidR="00FB58DD" w:rsidRPr="000A7FD1" w:rsidRDefault="00FB58DD" w:rsidP="004A102E">
      <w:pPr>
        <w:pStyle w:val="FAMSubsection"/>
      </w:pPr>
      <w:r w:rsidRPr="000A7FD1">
        <w:t>When evaluating whether control</w:t>
      </w:r>
      <w:r w:rsidR="000B7EE5" w:rsidRPr="000A7FD1">
        <w:t xml:space="preserve"> activitie</w:t>
      </w:r>
      <w:r w:rsidRPr="000A7FD1">
        <w:t xml:space="preserve">s are likely to be effective, the auditor should evaluate whether the </w:t>
      </w:r>
      <w:r w:rsidR="000B7EE5" w:rsidRPr="000A7FD1">
        <w:t xml:space="preserve">activities </w:t>
      </w:r>
      <w:r w:rsidRPr="000A7FD1">
        <w:t>also are applied effectively to adjustments</w:t>
      </w:r>
      <w:r w:rsidR="00362854" w:rsidRPr="000A7FD1">
        <w:t xml:space="preserve"> or </w:t>
      </w:r>
      <w:r w:rsidRPr="000A7FD1">
        <w:t>corrections made to the financial records. Such adjustments</w:t>
      </w:r>
      <w:r w:rsidR="00362854" w:rsidRPr="000A7FD1">
        <w:t xml:space="preserve"> or </w:t>
      </w:r>
      <w:r w:rsidRPr="000A7FD1">
        <w:t>corrections may occur at the transaction level, or during summarization of the transactions, or may be posted directly to the general ledger accounts. Further, the auditor should also evaluate the design and implementation of control</w:t>
      </w:r>
      <w:r w:rsidR="000B7EE5" w:rsidRPr="000A7FD1">
        <w:t xml:space="preserve"> activitie</w:t>
      </w:r>
      <w:r w:rsidRPr="000A7FD1">
        <w:t>s applied to the financial statement preparation process.</w:t>
      </w:r>
    </w:p>
    <w:p w14:paraId="2BC2D001" w14:textId="77777777" w:rsidR="00FB58DD" w:rsidRPr="000A7FD1" w:rsidRDefault="00FB58DD" w:rsidP="00365683">
      <w:pPr>
        <w:pStyle w:val="FAMSubsection"/>
        <w:numPr>
          <w:ilvl w:val="0"/>
          <w:numId w:val="0"/>
        </w:numPr>
        <w:ind w:left="720"/>
      </w:pPr>
    </w:p>
    <w:p w14:paraId="6BB2908A" w14:textId="77777777" w:rsidR="00FB58DD" w:rsidRPr="000A7FD1" w:rsidRDefault="00FB58DD" w:rsidP="004A102E">
      <w:pPr>
        <w:pStyle w:val="FAM-Subsection"/>
        <w:numPr>
          <w:ilvl w:val="0"/>
          <w:numId w:val="0"/>
        </w:numPr>
      </w:pPr>
      <w:r w:rsidRPr="000A7FD1">
        <w:br w:type="page"/>
      </w:r>
    </w:p>
    <w:p w14:paraId="3C5FDBFB" w14:textId="77777777" w:rsidR="00C80404" w:rsidRPr="000A7FD1" w:rsidRDefault="00C80404" w:rsidP="004A102E">
      <w:pPr>
        <w:pStyle w:val="FAM-Subsection"/>
        <w:numPr>
          <w:ilvl w:val="0"/>
          <w:numId w:val="0"/>
        </w:numPr>
        <w:sectPr w:rsidR="00C80404" w:rsidRPr="000A7FD1" w:rsidSect="00666BFE">
          <w:headerReference w:type="default" r:id="rId33"/>
          <w:footerReference w:type="default" r:id="rId34"/>
          <w:endnotePr>
            <w:numFmt w:val="decimal"/>
          </w:endnotePr>
          <w:pgSz w:w="12240" w:h="15840"/>
          <w:pgMar w:top="1080" w:right="1440" w:bottom="1080" w:left="1080" w:header="720" w:footer="720" w:gutter="360"/>
          <w:pgNumType w:start="1"/>
          <w:cols w:space="720"/>
          <w:noEndnote/>
          <w:docGrid w:linePitch="326"/>
        </w:sectPr>
      </w:pPr>
    </w:p>
    <w:p w14:paraId="44870653" w14:textId="0744E242" w:rsidR="00C80404" w:rsidRPr="000A7FD1" w:rsidRDefault="00C80404" w:rsidP="00713125">
      <w:pPr>
        <w:pStyle w:val="Heading2FAM"/>
      </w:pPr>
      <w:r w:rsidRPr="000A7FD1">
        <w:lastRenderedPageBreak/>
        <w:t xml:space="preserve">350 </w:t>
      </w:r>
      <w:r w:rsidR="004C25AA" w:rsidRPr="000A7FD1">
        <w:t>–</w:t>
      </w:r>
      <w:r w:rsidRPr="000A7FD1">
        <w:t xml:space="preserve"> Determine the Nature, Extent, and Timing of </w:t>
      </w:r>
      <w:r w:rsidR="00373BD9" w:rsidRPr="000A7FD1">
        <w:t xml:space="preserve">Tests of </w:t>
      </w:r>
      <w:r w:rsidRPr="000A7FD1">
        <w:t>Control</w:t>
      </w:r>
      <w:r w:rsidR="00B827A9" w:rsidRPr="000A7FD1">
        <w:t>s</w:t>
      </w:r>
      <w:r w:rsidR="0069524A" w:rsidRPr="000A7FD1">
        <w:t xml:space="preserve"> </w:t>
      </w:r>
      <w:r w:rsidRPr="000A7FD1">
        <w:t>and Compliance with FFMIA</w:t>
      </w:r>
    </w:p>
    <w:p w14:paraId="0B0A6556" w14:textId="463D65B1" w:rsidR="00C80404" w:rsidRPr="000A7FD1" w:rsidRDefault="00C80404" w:rsidP="006B46F1">
      <w:pPr>
        <w:pStyle w:val="FAM-Subsection"/>
        <w:numPr>
          <w:ilvl w:val="0"/>
          <w:numId w:val="6"/>
        </w:numPr>
      </w:pPr>
      <w:r w:rsidRPr="000A7FD1">
        <w:t>For each control objective, the auditor should</w:t>
      </w:r>
    </w:p>
    <w:p w14:paraId="28DE5D26" w14:textId="530D00B2" w:rsidR="00C80404" w:rsidRPr="000A7FD1" w:rsidRDefault="00C80404" w:rsidP="000D1813">
      <w:pPr>
        <w:pStyle w:val="FAM-Bullet-1"/>
        <w:numPr>
          <w:ilvl w:val="0"/>
          <w:numId w:val="41"/>
        </w:numPr>
        <w:ind w:left="1800"/>
      </w:pPr>
      <w:r w:rsidRPr="000A7FD1">
        <w:t xml:space="preserve">identify control activities to test </w:t>
      </w:r>
      <w:r w:rsidR="00CD2FEF" w:rsidRPr="000A7FD1">
        <w:t xml:space="preserve">(i.e., relevant control activities) </w:t>
      </w:r>
      <w:r w:rsidRPr="000A7FD1">
        <w:t>(FAM 350.0</w:t>
      </w:r>
      <w:r w:rsidR="00523B8C" w:rsidRPr="000A7FD1">
        <w:t>4</w:t>
      </w:r>
      <w:r w:rsidR="00295C7C" w:rsidRPr="000A7FD1">
        <w:t>–</w:t>
      </w:r>
      <w:r w:rsidR="0058015D" w:rsidRPr="000A7FD1">
        <w:t>.</w:t>
      </w:r>
      <w:r w:rsidRPr="000A7FD1">
        <w:t>0</w:t>
      </w:r>
      <w:r w:rsidR="00946EEF" w:rsidRPr="000A7FD1">
        <w:t>7</w:t>
      </w:r>
      <w:r w:rsidRPr="000A7FD1">
        <w:t>)</w:t>
      </w:r>
      <w:r w:rsidR="00CC225F" w:rsidRPr="000A7FD1">
        <w:t>;</w:t>
      </w:r>
      <w:r w:rsidR="007A2F57" w:rsidRPr="000A7FD1">
        <w:rPr>
          <w:rStyle w:val="FootnoteReference"/>
        </w:rPr>
        <w:footnoteReference w:id="5"/>
      </w:r>
      <w:r w:rsidRPr="000A7FD1">
        <w:t xml:space="preserve"> </w:t>
      </w:r>
    </w:p>
    <w:p w14:paraId="75A84A87" w14:textId="354FD4B6" w:rsidR="00C80404" w:rsidRPr="000A7FD1" w:rsidRDefault="00C80404" w:rsidP="000D1813">
      <w:pPr>
        <w:pStyle w:val="FAM-Bullet-1"/>
        <w:numPr>
          <w:ilvl w:val="0"/>
          <w:numId w:val="41"/>
        </w:numPr>
        <w:ind w:left="1800"/>
      </w:pPr>
      <w:r w:rsidRPr="000A7FD1">
        <w:t xml:space="preserve">perform walk-throughs to determine whether </w:t>
      </w:r>
      <w:r w:rsidR="00CD2FEF" w:rsidRPr="000A7FD1">
        <w:t>relevant</w:t>
      </w:r>
      <w:r w:rsidRPr="000A7FD1">
        <w:t xml:space="preserve"> control</w:t>
      </w:r>
      <w:r w:rsidR="0069524A" w:rsidRPr="000A7FD1">
        <w:t xml:space="preserve"> activities</w:t>
      </w:r>
      <w:r w:rsidRPr="000A7FD1">
        <w:t xml:space="preserve"> have been </w:t>
      </w:r>
      <w:r w:rsidR="0046070B" w:rsidRPr="000A7FD1">
        <w:t>implemented</w:t>
      </w:r>
      <w:r w:rsidRPr="000A7FD1">
        <w:t xml:space="preserve"> (FAM 350.</w:t>
      </w:r>
      <w:r w:rsidR="00523B8C" w:rsidRPr="000A7FD1">
        <w:t>0</w:t>
      </w:r>
      <w:r w:rsidR="00D5014C" w:rsidRPr="000A7FD1">
        <w:t>8–.</w:t>
      </w:r>
      <w:r w:rsidR="00C40ED5" w:rsidRPr="000A7FD1">
        <w:t>10</w:t>
      </w:r>
      <w:r w:rsidRPr="000A7FD1">
        <w:t>)</w:t>
      </w:r>
      <w:r w:rsidR="00CC225F" w:rsidRPr="000A7FD1">
        <w:t>;</w:t>
      </w:r>
    </w:p>
    <w:p w14:paraId="54400112" w14:textId="4700FAEB" w:rsidR="00C80404" w:rsidRPr="000A7FD1" w:rsidRDefault="00C80404" w:rsidP="000D1813">
      <w:pPr>
        <w:pStyle w:val="FAM-Bullet-1"/>
        <w:numPr>
          <w:ilvl w:val="0"/>
          <w:numId w:val="41"/>
        </w:numPr>
        <w:ind w:left="1800"/>
      </w:pPr>
      <w:r w:rsidRPr="000A7FD1">
        <w:t xml:space="preserve">document </w:t>
      </w:r>
      <w:r w:rsidR="00CD2FEF" w:rsidRPr="000A7FD1">
        <w:t>relevant</w:t>
      </w:r>
      <w:r w:rsidRPr="000A7FD1">
        <w:t xml:space="preserve"> control activities in the SCE worksheet or equivalent (FAM</w:t>
      </w:r>
      <w:r w:rsidR="00024876" w:rsidRPr="000A7FD1">
        <w:t> </w:t>
      </w:r>
      <w:r w:rsidRPr="000A7FD1">
        <w:t>350.</w:t>
      </w:r>
      <w:r w:rsidR="00D5014C" w:rsidRPr="000A7FD1">
        <w:t>11</w:t>
      </w:r>
      <w:r w:rsidRPr="000A7FD1">
        <w:t>)</w:t>
      </w:r>
      <w:r w:rsidR="00CC225F" w:rsidRPr="000A7FD1">
        <w:t>; and</w:t>
      </w:r>
    </w:p>
    <w:p w14:paraId="3764A37B" w14:textId="25B191F1" w:rsidR="00C80404" w:rsidRPr="000A7FD1" w:rsidRDefault="00C80404" w:rsidP="000D1813">
      <w:pPr>
        <w:pStyle w:val="FAM-Bullet-1"/>
        <w:numPr>
          <w:ilvl w:val="0"/>
          <w:numId w:val="41"/>
        </w:numPr>
        <w:ind w:left="1800"/>
      </w:pPr>
      <w:r w:rsidRPr="000A7FD1">
        <w:t>determine the nature</w:t>
      </w:r>
      <w:r w:rsidR="00CC225F" w:rsidRPr="000A7FD1">
        <w:t>, extent, and timing</w:t>
      </w:r>
      <w:r w:rsidRPr="000A7FD1">
        <w:t xml:space="preserve"> of </w:t>
      </w:r>
      <w:r w:rsidR="00584E76" w:rsidRPr="000A7FD1">
        <w:t xml:space="preserve">tests of </w:t>
      </w:r>
      <w:r w:rsidR="00CD2FEF" w:rsidRPr="000A7FD1">
        <w:t xml:space="preserve">relevant </w:t>
      </w:r>
      <w:r w:rsidRPr="000A7FD1">
        <w:t>control</w:t>
      </w:r>
      <w:r w:rsidR="00CD2FEF" w:rsidRPr="000A7FD1">
        <w:t xml:space="preserve"> activitie</w:t>
      </w:r>
      <w:r w:rsidR="00B827A9" w:rsidRPr="000A7FD1">
        <w:t>s</w:t>
      </w:r>
      <w:r w:rsidR="002440E5" w:rsidRPr="000A7FD1">
        <w:t xml:space="preserve"> </w:t>
      </w:r>
      <w:r w:rsidRPr="000A7FD1">
        <w:t>(FAM 350.</w:t>
      </w:r>
      <w:r w:rsidR="00D5014C" w:rsidRPr="000A7FD1">
        <w:t>13</w:t>
      </w:r>
      <w:r w:rsidR="00295C7C" w:rsidRPr="000A7FD1">
        <w:t>–</w:t>
      </w:r>
      <w:r w:rsidR="0058015D" w:rsidRPr="000A7FD1">
        <w:t>.</w:t>
      </w:r>
      <w:r w:rsidR="005834C3" w:rsidRPr="000A7FD1">
        <w:t>26</w:t>
      </w:r>
      <w:r w:rsidRPr="000A7FD1">
        <w:t>)</w:t>
      </w:r>
      <w:r w:rsidR="00CC225F" w:rsidRPr="000A7FD1">
        <w:t>.</w:t>
      </w:r>
    </w:p>
    <w:p w14:paraId="45BFCB00" w14:textId="51D39298" w:rsidR="001A5CBC" w:rsidRPr="000A7FD1" w:rsidRDefault="009C2383" w:rsidP="009C2383">
      <w:pPr>
        <w:pStyle w:val="FAM-Subsection"/>
      </w:pPr>
      <w:r w:rsidRPr="000A7FD1">
        <w:t xml:space="preserve">As noted in FAM 310, </w:t>
      </w:r>
      <w:r w:rsidR="001806AA" w:rsidRPr="000A7FD1">
        <w:t xml:space="preserve">according to </w:t>
      </w:r>
      <w:r w:rsidRPr="000A7FD1">
        <w:t>OMB</w:t>
      </w:r>
      <w:r w:rsidR="001A5CBC" w:rsidRPr="000A7FD1">
        <w:t xml:space="preserve"> audit guidance</w:t>
      </w:r>
      <w:r w:rsidR="001806AA" w:rsidRPr="000A7FD1">
        <w:t>, for those controls that have been suitably designed and implemented,</w:t>
      </w:r>
      <w:r w:rsidR="001A5CBC" w:rsidRPr="000A7FD1">
        <w:t xml:space="preserve"> </w:t>
      </w:r>
      <w:r w:rsidRPr="000A7FD1">
        <w:t xml:space="preserve">the auditor </w:t>
      </w:r>
      <w:r w:rsidR="001806AA" w:rsidRPr="000A7FD1">
        <w:t xml:space="preserve">should </w:t>
      </w:r>
      <w:r w:rsidRPr="000A7FD1">
        <w:t xml:space="preserve">perform sufficient tests of </w:t>
      </w:r>
      <w:r w:rsidR="001806AA" w:rsidRPr="000A7FD1">
        <w:t>such</w:t>
      </w:r>
      <w:r w:rsidRPr="000A7FD1">
        <w:t xml:space="preserve"> controls to conclude whether the controls are operating effectively (i.e., sufficient tests of controls to support a low level of assessed control risk). Thus, the auditor should not elect to forgo control tests because it is more efficient to extend substantive and compliance audit procedures.</w:t>
      </w:r>
    </w:p>
    <w:p w14:paraId="0271DEE1" w14:textId="26A46B74" w:rsidR="00C80404" w:rsidRPr="000A7FD1" w:rsidRDefault="00083AA6" w:rsidP="004A102E">
      <w:pPr>
        <w:pStyle w:val="FAM-Subsection"/>
      </w:pPr>
      <w:r w:rsidRPr="000A7FD1">
        <w:t>For</w:t>
      </w:r>
      <w:r w:rsidR="0058015D" w:rsidRPr="000A7FD1">
        <w:t xml:space="preserve"> </w:t>
      </w:r>
      <w:r w:rsidR="00C80404" w:rsidRPr="000A7FD1">
        <w:t xml:space="preserve">CFO Act agencies, the auditor also should determine the nature, extent, and timing of tests </w:t>
      </w:r>
      <w:r w:rsidR="00A037B8" w:rsidRPr="000A7FD1">
        <w:t xml:space="preserve">for determining whether </w:t>
      </w:r>
      <w:r w:rsidR="00C80404" w:rsidRPr="000A7FD1">
        <w:t xml:space="preserve">the entity’s </w:t>
      </w:r>
      <w:r w:rsidR="00A037B8" w:rsidRPr="000A7FD1">
        <w:t xml:space="preserve">financial management </w:t>
      </w:r>
      <w:r w:rsidR="00C80404" w:rsidRPr="000A7FD1">
        <w:t>systems</w:t>
      </w:r>
      <w:r w:rsidR="00A037B8" w:rsidRPr="000A7FD1">
        <w:t xml:space="preserve"> are in substantial</w:t>
      </w:r>
      <w:r w:rsidR="0058015D" w:rsidRPr="000A7FD1">
        <w:t xml:space="preserve"> compliance</w:t>
      </w:r>
      <w:r w:rsidR="00C80404" w:rsidRPr="000A7FD1">
        <w:t xml:space="preserve"> with federal financial management systems requirements (these requirements are established by the Department of the Treasury and published in </w:t>
      </w:r>
      <w:r w:rsidR="0058015D" w:rsidRPr="000A7FD1">
        <w:t xml:space="preserve">the </w:t>
      </w:r>
      <w:r w:rsidR="0058015D" w:rsidRPr="000A7FD1">
        <w:rPr>
          <w:i/>
        </w:rPr>
        <w:t>Treasury Financial Manual</w:t>
      </w:r>
      <w:r w:rsidR="0058015D" w:rsidRPr="000A7FD1">
        <w:t xml:space="preserve"> (</w:t>
      </w:r>
      <w:r w:rsidR="00C80404" w:rsidRPr="000A7FD1">
        <w:t>TFM</w:t>
      </w:r>
      <w:r w:rsidR="0058015D" w:rsidRPr="000A7FD1">
        <w:t>)</w:t>
      </w:r>
      <w:r w:rsidR="00C80404" w:rsidRPr="000A7FD1">
        <w:t xml:space="preserve">, </w:t>
      </w:r>
      <w:r w:rsidR="0058015D" w:rsidRPr="000A7FD1">
        <w:t xml:space="preserve">volume </w:t>
      </w:r>
      <w:r w:rsidR="00C80404" w:rsidRPr="000A7FD1">
        <w:t xml:space="preserve">1, </w:t>
      </w:r>
      <w:r w:rsidR="0058015D" w:rsidRPr="000A7FD1">
        <w:t xml:space="preserve">chapter </w:t>
      </w:r>
      <w:r w:rsidR="00C80404" w:rsidRPr="000A7FD1">
        <w:t>9500</w:t>
      </w:r>
      <w:r w:rsidR="0058015D" w:rsidRPr="000A7FD1">
        <w:t xml:space="preserve">); </w:t>
      </w:r>
      <w:r w:rsidR="00C80404" w:rsidRPr="000A7FD1">
        <w:t>federal accounting standards (U.S. GAAP</w:t>
      </w:r>
      <w:r w:rsidR="0058015D" w:rsidRPr="000A7FD1">
        <w:t>—</w:t>
      </w:r>
      <w:r w:rsidR="00C80404" w:rsidRPr="000A7FD1">
        <w:t>see FAM 560</w:t>
      </w:r>
      <w:r w:rsidR="0058015D" w:rsidRPr="000A7FD1">
        <w:t xml:space="preserve">); </w:t>
      </w:r>
      <w:r w:rsidR="00C80404" w:rsidRPr="000A7FD1">
        <w:t xml:space="preserve">and the </w:t>
      </w:r>
      <w:r w:rsidR="00502B31" w:rsidRPr="000A7FD1">
        <w:t>US</w:t>
      </w:r>
      <w:r w:rsidR="00C80404" w:rsidRPr="000A7FD1">
        <w:t>SGL at the transaction level in order to report in accordance with FFMIA</w:t>
      </w:r>
      <w:r w:rsidR="00617918" w:rsidRPr="000A7FD1">
        <w:t xml:space="preserve"> (FAM 350.2</w:t>
      </w:r>
      <w:r w:rsidR="00960DB3" w:rsidRPr="000A7FD1">
        <w:t>7</w:t>
      </w:r>
      <w:r w:rsidR="00295C7C" w:rsidRPr="000A7FD1">
        <w:t>–</w:t>
      </w:r>
      <w:r w:rsidR="00617918" w:rsidRPr="000A7FD1">
        <w:t>.</w:t>
      </w:r>
      <w:r w:rsidR="00960DB3" w:rsidRPr="000A7FD1">
        <w:t>30</w:t>
      </w:r>
      <w:r w:rsidR="00617918" w:rsidRPr="000A7FD1">
        <w:t>)</w:t>
      </w:r>
      <w:r w:rsidR="00C80404" w:rsidRPr="000A7FD1">
        <w:t xml:space="preserve">. </w:t>
      </w:r>
    </w:p>
    <w:p w14:paraId="65801C3A" w14:textId="77777777" w:rsidR="00C80404" w:rsidRPr="000A7FD1" w:rsidRDefault="00C80404" w:rsidP="004A102E">
      <w:pPr>
        <w:pStyle w:val="FAM-Continuation1"/>
      </w:pPr>
      <w:r w:rsidRPr="000A7FD1">
        <w:t xml:space="preserve">Substantial compliance includes the ability of the financial management systems to routinely provide reliable and timely financial information for managing day-to-day operations as well as to produce reliable financial statements, maintain effective internal control, and comply with legal and regulatory requirements. </w:t>
      </w:r>
    </w:p>
    <w:p w14:paraId="7EC7C9A4" w14:textId="596C8834" w:rsidR="00C80404" w:rsidRPr="000A7FD1" w:rsidRDefault="00232A44" w:rsidP="004A102E">
      <w:pPr>
        <w:pStyle w:val="FAM-Continuation1"/>
      </w:pPr>
      <w:r w:rsidRPr="000A7FD1">
        <w:t xml:space="preserve">Implementing </w:t>
      </w:r>
      <w:r w:rsidR="00C80404" w:rsidRPr="000A7FD1">
        <w:t>FFMIA</w:t>
      </w:r>
      <w:r w:rsidRPr="000A7FD1">
        <w:t>’s requirements helps</w:t>
      </w:r>
      <w:r w:rsidR="00C80404" w:rsidRPr="000A7FD1">
        <w:t xml:space="preserve"> to ensure that agencies use financial management systems that provide reliable, timely, and consistent information. Agencies that can (1)</w:t>
      </w:r>
      <w:r w:rsidR="00024876" w:rsidRPr="000A7FD1">
        <w:t> </w:t>
      </w:r>
      <w:r w:rsidR="00C80404" w:rsidRPr="000A7FD1">
        <w:t>prepare financial statements and other required financial budget reports using information generated by the</w:t>
      </w:r>
      <w:r w:rsidR="0058015D" w:rsidRPr="000A7FD1">
        <w:t>ir</w:t>
      </w:r>
      <w:r w:rsidR="00C80404" w:rsidRPr="000A7FD1">
        <w:t xml:space="preserve"> financial management system(s); (2) provide reliable and timely financial information for managing current operations; (3)</w:t>
      </w:r>
      <w:r w:rsidR="00024876" w:rsidRPr="000A7FD1">
        <w:t> </w:t>
      </w:r>
      <w:r w:rsidR="00C80404" w:rsidRPr="000A7FD1">
        <w:t xml:space="preserve">account for their assets reliably, so that they can be properly protected from loss, misappropriation, or destruction; and </w:t>
      </w:r>
      <w:r w:rsidR="0058015D" w:rsidRPr="000A7FD1">
        <w:t xml:space="preserve">(4) </w:t>
      </w:r>
      <w:r w:rsidR="00C80404" w:rsidRPr="000A7FD1">
        <w:t xml:space="preserve">do all three in a way that is consistent with </w:t>
      </w:r>
      <w:r w:rsidR="002F0BA4" w:rsidRPr="000A7FD1">
        <w:t xml:space="preserve">U.S. </w:t>
      </w:r>
      <w:r w:rsidR="00C80404" w:rsidRPr="000A7FD1">
        <w:t xml:space="preserve">GAAP and the </w:t>
      </w:r>
      <w:r w:rsidR="00502B31" w:rsidRPr="000A7FD1">
        <w:t>US</w:t>
      </w:r>
      <w:r w:rsidR="00C80404" w:rsidRPr="000A7FD1">
        <w:t xml:space="preserve">SGL are substantially compliant with </w:t>
      </w:r>
      <w:r w:rsidRPr="000A7FD1">
        <w:t xml:space="preserve">the three </w:t>
      </w:r>
      <w:r w:rsidR="00C80404" w:rsidRPr="000A7FD1">
        <w:t>FFMIA</w:t>
      </w:r>
      <w:r w:rsidR="00CB1162" w:rsidRPr="000A7FD1">
        <w:t xml:space="preserve"> requirements</w:t>
      </w:r>
      <w:r w:rsidR="00C80404" w:rsidRPr="000A7FD1">
        <w:t xml:space="preserve">. See FAM 701 for further guidance </w:t>
      </w:r>
      <w:r w:rsidR="00E96EF2" w:rsidRPr="000A7FD1">
        <w:t>on determining financial management systems’</w:t>
      </w:r>
      <w:r w:rsidR="0025360A" w:rsidRPr="000A7FD1">
        <w:t xml:space="preserve"> substantial</w:t>
      </w:r>
      <w:r w:rsidR="00E96EF2" w:rsidRPr="000A7FD1">
        <w:t xml:space="preserve"> compliance with </w:t>
      </w:r>
      <w:r w:rsidR="00E96EF2" w:rsidRPr="000A7FD1">
        <w:lastRenderedPageBreak/>
        <w:t>FFMIA</w:t>
      </w:r>
      <w:r w:rsidR="00102819" w:rsidRPr="000A7FD1">
        <w:t xml:space="preserve"> requirements</w:t>
      </w:r>
      <w:r w:rsidR="00C80404" w:rsidRPr="000A7FD1">
        <w:t>.</w:t>
      </w:r>
      <w:r w:rsidR="0025360A" w:rsidRPr="000A7FD1">
        <w:t xml:space="preserve">  </w:t>
      </w:r>
    </w:p>
    <w:p w14:paraId="1087CF23" w14:textId="0CBB0D1F" w:rsidR="00C80404" w:rsidRPr="000A7FD1" w:rsidRDefault="00C80404" w:rsidP="00F363DF">
      <w:pPr>
        <w:pStyle w:val="StyleHeading3FAM"/>
      </w:pPr>
      <w:r w:rsidRPr="000A7FD1">
        <w:t xml:space="preserve">Identify Relevant Control Activities </w:t>
      </w:r>
    </w:p>
    <w:p w14:paraId="036EEFB2" w14:textId="066CBE30" w:rsidR="00A77553" w:rsidRPr="000A7FD1" w:rsidRDefault="00281416" w:rsidP="00CC4EDB">
      <w:pPr>
        <w:pStyle w:val="FAM-Subsection"/>
      </w:pPr>
      <w:r w:rsidRPr="000A7FD1">
        <w:t xml:space="preserve">As discussed in FAM 340, </w:t>
      </w:r>
      <w:r w:rsidR="00612637" w:rsidRPr="000A7FD1">
        <w:t>the auditor identifie</w:t>
      </w:r>
      <w:r w:rsidR="008C7EAC" w:rsidRPr="000A7FD1">
        <w:t>s</w:t>
      </w:r>
      <w:r w:rsidR="00612637" w:rsidRPr="000A7FD1">
        <w:t xml:space="preserve"> and obtain</w:t>
      </w:r>
      <w:r w:rsidR="008C7EAC" w:rsidRPr="000A7FD1">
        <w:t>s</w:t>
      </w:r>
      <w:r w:rsidR="00612637" w:rsidRPr="000A7FD1">
        <w:t xml:space="preserve"> an understanding of the design of control activities </w:t>
      </w:r>
      <w:r w:rsidRPr="000A7FD1">
        <w:t>f</w:t>
      </w:r>
      <w:r w:rsidR="00C80404" w:rsidRPr="000A7FD1">
        <w:t>or each control objective identified in FAM 330</w:t>
      </w:r>
      <w:r w:rsidRPr="000A7FD1">
        <w:t xml:space="preserve">. </w:t>
      </w:r>
      <w:r w:rsidR="00612637" w:rsidRPr="000A7FD1">
        <w:t>Using this understanding</w:t>
      </w:r>
      <w:r w:rsidR="00C80404" w:rsidRPr="000A7FD1">
        <w:t xml:space="preserve">, the auditor should </w:t>
      </w:r>
      <w:r w:rsidR="00A77553" w:rsidRPr="000A7FD1">
        <w:t>determine which</w:t>
      </w:r>
      <w:r w:rsidR="00C80404" w:rsidRPr="000A7FD1">
        <w:t xml:space="preserve"> control activity, or combination of control activities, </w:t>
      </w:r>
      <w:r w:rsidR="001718D0" w:rsidRPr="000A7FD1">
        <w:t xml:space="preserve">to test </w:t>
      </w:r>
      <w:r w:rsidR="004F2DF2" w:rsidRPr="000A7FD1">
        <w:t xml:space="preserve">(i.e., relevant control activities) </w:t>
      </w:r>
      <w:r w:rsidR="001718D0" w:rsidRPr="000A7FD1">
        <w:t xml:space="preserve">based on their ability </w:t>
      </w:r>
      <w:r w:rsidR="00C80404" w:rsidRPr="000A7FD1">
        <w:t xml:space="preserve">to (1) achieve the control objective and (2) improve the efficiency of control tests. </w:t>
      </w:r>
      <w:r w:rsidR="00A77553" w:rsidRPr="000A7FD1">
        <w:t>For example, the auditor may have identified several control activities that are equally effective in achieving a control objective. In such a case, the auditor generally should test only those control activities that are necessary to achieve the control objective and are efficient to test, considering such factors as</w:t>
      </w:r>
    </w:p>
    <w:p w14:paraId="134B4C53" w14:textId="7A3BA136" w:rsidR="00A40092" w:rsidRPr="000A7FD1" w:rsidRDefault="00A40092" w:rsidP="00A40092">
      <w:pPr>
        <w:pStyle w:val="FAM-Subsection"/>
        <w:numPr>
          <w:ilvl w:val="0"/>
          <w:numId w:val="2"/>
        </w:numPr>
      </w:pPr>
      <w:r w:rsidRPr="000A7FD1">
        <w:t xml:space="preserve">the extent to which a control activity achieves several control objectives and thereby reduces the number of control activities that would ordinarily need to be tested; </w:t>
      </w:r>
    </w:p>
    <w:p w14:paraId="6CE4362D" w14:textId="169B3EF3" w:rsidR="00A40092" w:rsidRPr="000A7FD1" w:rsidRDefault="00A40092" w:rsidP="00A40092">
      <w:pPr>
        <w:pStyle w:val="FAM-Subsection"/>
        <w:numPr>
          <w:ilvl w:val="0"/>
          <w:numId w:val="2"/>
        </w:numPr>
      </w:pPr>
      <w:r w:rsidRPr="000A7FD1">
        <w:t xml:space="preserve">the time that will be required to test the control activity; and </w:t>
      </w:r>
    </w:p>
    <w:p w14:paraId="0171C49A" w14:textId="14C8E239" w:rsidR="00A40092" w:rsidRPr="000A7FD1" w:rsidRDefault="00A40092" w:rsidP="00A40092">
      <w:pPr>
        <w:pStyle w:val="FAM-Subsection"/>
        <w:numPr>
          <w:ilvl w:val="0"/>
          <w:numId w:val="2"/>
        </w:numPr>
      </w:pPr>
      <w:r w:rsidRPr="000A7FD1">
        <w:t>control dependencies, particularly for IS controls (see FAM 340.</w:t>
      </w:r>
      <w:r w:rsidR="00C40ED5" w:rsidRPr="000A7FD1">
        <w:t>02</w:t>
      </w:r>
      <w:r w:rsidRPr="000A7FD1">
        <w:t xml:space="preserve">). </w:t>
      </w:r>
    </w:p>
    <w:p w14:paraId="595A6DE2" w14:textId="33C75762" w:rsidR="00FB1FE0" w:rsidRPr="000A7FD1" w:rsidRDefault="00FB1FE0" w:rsidP="00B6370E">
      <w:pPr>
        <w:pStyle w:val="FAM-Subsection"/>
        <w:numPr>
          <w:ilvl w:val="0"/>
          <w:numId w:val="0"/>
        </w:numPr>
        <w:ind w:left="1440"/>
      </w:pPr>
      <w:r w:rsidRPr="000A7FD1">
        <w:t xml:space="preserve">The auditor may, based on risk, test different control activities from year to year in a recurring audit, but it does not change the auditor’s responsibility to test the control activity, or combination of control activities, in the current-year audit that </w:t>
      </w:r>
      <w:r w:rsidR="00557A2A" w:rsidRPr="000A7FD1">
        <w:t xml:space="preserve">is </w:t>
      </w:r>
      <w:r w:rsidRPr="000A7FD1">
        <w:t xml:space="preserve">necessary to achieve the control objective. See FAM 360 and 450 for guidance on performing </w:t>
      </w:r>
      <w:r w:rsidR="00D035F0" w:rsidRPr="000A7FD1">
        <w:t xml:space="preserve">tests of </w:t>
      </w:r>
      <w:r w:rsidR="009F5D3A" w:rsidRPr="000A7FD1">
        <w:t>control</w:t>
      </w:r>
      <w:r w:rsidR="00D035F0" w:rsidRPr="000A7FD1">
        <w:t xml:space="preserve"> activities</w:t>
      </w:r>
      <w:r w:rsidRPr="000A7FD1">
        <w:t>.</w:t>
      </w:r>
    </w:p>
    <w:p w14:paraId="0ADB3FC0" w14:textId="017024E5" w:rsidR="000D1813" w:rsidRPr="000A7FD1" w:rsidRDefault="0091349E" w:rsidP="0091349E">
      <w:pPr>
        <w:pStyle w:val="FAM-Subsection"/>
      </w:pPr>
      <w:r w:rsidRPr="000A7FD1">
        <w:t xml:space="preserve">In identifying relevant control activities, the auditor should consider </w:t>
      </w:r>
    </w:p>
    <w:p w14:paraId="5F304192" w14:textId="62C3267C" w:rsidR="007351FF" w:rsidRPr="000A7FD1" w:rsidRDefault="0091349E" w:rsidP="000D1813">
      <w:pPr>
        <w:pStyle w:val="FAM-Subsection"/>
        <w:numPr>
          <w:ilvl w:val="6"/>
          <w:numId w:val="83"/>
        </w:numPr>
      </w:pPr>
      <w:r w:rsidRPr="000A7FD1">
        <w:t>the assessment of inherent risk</w:t>
      </w:r>
      <w:r w:rsidR="007351FF" w:rsidRPr="000A7FD1">
        <w:t xml:space="preserve"> and</w:t>
      </w:r>
      <w:r w:rsidR="0043017C" w:rsidRPr="000A7FD1">
        <w:t xml:space="preserve"> </w:t>
      </w:r>
    </w:p>
    <w:p w14:paraId="1C75C8FE" w14:textId="3962C15A" w:rsidR="000D1813" w:rsidRPr="000A7FD1" w:rsidRDefault="0091349E" w:rsidP="000D1813">
      <w:pPr>
        <w:pStyle w:val="FAM-Subsection"/>
        <w:numPr>
          <w:ilvl w:val="6"/>
          <w:numId w:val="83"/>
        </w:numPr>
      </w:pPr>
      <w:r w:rsidRPr="000A7FD1">
        <w:t xml:space="preserve">the tentative determination of the likelihood that IS controls will be effective (see FAM 270). </w:t>
      </w:r>
    </w:p>
    <w:p w14:paraId="435BD7B6" w14:textId="69D01984" w:rsidR="0091349E" w:rsidRPr="000A7FD1" w:rsidRDefault="0091349E" w:rsidP="000D1813">
      <w:pPr>
        <w:pStyle w:val="FAM-Subsection"/>
        <w:numPr>
          <w:ilvl w:val="0"/>
          <w:numId w:val="0"/>
        </w:numPr>
        <w:ind w:left="1440"/>
      </w:pPr>
      <w:r w:rsidRPr="000A7FD1">
        <w:t xml:space="preserve">For example, assertions that have high inherent risk normally require stronger or more extensive controls to prevent, or detect and correct, </w:t>
      </w:r>
      <w:r w:rsidR="00030CE1" w:rsidRPr="000A7FD1">
        <w:t xml:space="preserve">material </w:t>
      </w:r>
      <w:r w:rsidRPr="000A7FD1">
        <w:t xml:space="preserve">misstatements than assertions with low inherent risk. </w:t>
      </w:r>
    </w:p>
    <w:p w14:paraId="20CF2160" w14:textId="581B1175" w:rsidR="00A77553" w:rsidRPr="000A7FD1" w:rsidRDefault="00A77553" w:rsidP="00A77553">
      <w:pPr>
        <w:pStyle w:val="FAM-Subsection"/>
      </w:pPr>
      <w:r w:rsidRPr="000A7FD1">
        <w:t xml:space="preserve">If a control activity is not effectively designed or not likely to </w:t>
      </w:r>
      <w:r w:rsidR="0091349E" w:rsidRPr="000A7FD1">
        <w:t>operate effectively</w:t>
      </w:r>
      <w:r w:rsidRPr="000A7FD1">
        <w:t xml:space="preserve"> (based on prior years’ control tests and the auditor’s understanding of the control activity in the current year, including management’s indication that controls have not improved from the prior year), the auditor does not need to test the operating effectiveness of that control activity in the current year.</w:t>
      </w:r>
    </w:p>
    <w:p w14:paraId="4DB544A6" w14:textId="1BEC2511" w:rsidR="00A77553" w:rsidRPr="000A7FD1" w:rsidRDefault="00A77553" w:rsidP="0091349E">
      <w:pPr>
        <w:pStyle w:val="FAM-Subsection"/>
        <w:numPr>
          <w:ilvl w:val="0"/>
          <w:numId w:val="0"/>
        </w:numPr>
        <w:ind w:left="1440"/>
      </w:pPr>
      <w:r w:rsidRPr="000A7FD1">
        <w:t xml:space="preserve">If, during any phase of the audit, the auditor determines that a </w:t>
      </w:r>
      <w:r w:rsidR="0091349E" w:rsidRPr="000A7FD1">
        <w:t xml:space="preserve">relevant </w:t>
      </w:r>
      <w:r w:rsidRPr="000A7FD1">
        <w:t xml:space="preserve">control activity is, in fact, ineffective in design, implementation, or operation in achieving the control objective, the auditor may discontinue testing that control activity and should report the identified deficiencies in internal control, as discussed in FAM 580. The auditor should determine whether one or more other control activities are likely to achieve the same objective, and if so, the auditor should test them and update the SCE </w:t>
      </w:r>
      <w:r w:rsidR="004818B8" w:rsidRPr="000A7FD1">
        <w:t xml:space="preserve">worksheet </w:t>
      </w:r>
      <w:r w:rsidRPr="000A7FD1">
        <w:t xml:space="preserve">accordingly. </w:t>
      </w:r>
    </w:p>
    <w:p w14:paraId="2FCB4F32" w14:textId="0B86C9D6" w:rsidR="00A77553" w:rsidRPr="000A7FD1" w:rsidRDefault="0091349E" w:rsidP="00A77553">
      <w:pPr>
        <w:pStyle w:val="FAM-Subsection"/>
      </w:pPr>
      <w:r w:rsidRPr="000A7FD1">
        <w:t>In addition to identifying relevant control activities, t</w:t>
      </w:r>
      <w:r w:rsidR="00A77553" w:rsidRPr="000A7FD1">
        <w:t xml:space="preserve">he auditor should identify and test those entity-level controls that are important to the auditor’s conclusion about </w:t>
      </w:r>
      <w:r w:rsidR="00A77553" w:rsidRPr="000A7FD1">
        <w:lastRenderedPageBreak/>
        <w:t xml:space="preserve">whether the entity has effective internal control over financial reporting (AU-C 940.22). Testing of entity-level controls as it relates to the other four components of internal control (control environment, entity risk assessment, information and communication, and monitoring) is discussed in FAM 360.19. Per AU-C 940.A35, the auditor’s evaluation of entity-level controls can result in increasing or decreasing the testing that the auditor otherwise would have performed on other controls. </w:t>
      </w:r>
    </w:p>
    <w:p w14:paraId="6E1E2C06" w14:textId="5C65BC90" w:rsidR="00C80404" w:rsidRPr="000A7FD1" w:rsidRDefault="00C80404" w:rsidP="00F363DF">
      <w:pPr>
        <w:pStyle w:val="StyleHeading3FAM"/>
      </w:pPr>
      <w:r w:rsidRPr="000A7FD1">
        <w:t xml:space="preserve">Perform Walk-throughs to Determine Whether </w:t>
      </w:r>
      <w:r w:rsidR="004F2DF2" w:rsidRPr="000A7FD1">
        <w:t xml:space="preserve">Relevant </w:t>
      </w:r>
      <w:r w:rsidRPr="000A7FD1">
        <w:t>Control</w:t>
      </w:r>
      <w:r w:rsidR="005F7DF5" w:rsidRPr="000A7FD1">
        <w:t xml:space="preserve"> Activities</w:t>
      </w:r>
      <w:r w:rsidRPr="000A7FD1">
        <w:t xml:space="preserve"> </w:t>
      </w:r>
      <w:r w:rsidR="000B509C" w:rsidRPr="000A7FD1">
        <w:t>Have Been Implemented</w:t>
      </w:r>
    </w:p>
    <w:p w14:paraId="4D77DDE5" w14:textId="3485CCA2" w:rsidR="00784985" w:rsidRPr="000A7FD1" w:rsidRDefault="003C5757" w:rsidP="0046417C">
      <w:pPr>
        <w:pStyle w:val="FAMSubsection"/>
      </w:pPr>
      <w:r w:rsidRPr="000A7FD1">
        <w:t>T</w:t>
      </w:r>
      <w:r w:rsidR="00C80404" w:rsidRPr="000A7FD1">
        <w:t xml:space="preserve">he auditor should perform one or more walk-throughs of each </w:t>
      </w:r>
      <w:r w:rsidR="00385733" w:rsidRPr="000A7FD1">
        <w:t xml:space="preserve">relevant </w:t>
      </w:r>
      <w:r w:rsidR="00C80404" w:rsidRPr="000A7FD1">
        <w:t xml:space="preserve">control activity </w:t>
      </w:r>
      <w:r w:rsidR="0063225E" w:rsidRPr="000A7FD1">
        <w:t>identified</w:t>
      </w:r>
      <w:r w:rsidR="00E0264E" w:rsidRPr="000A7FD1">
        <w:t xml:space="preserve"> </w:t>
      </w:r>
      <w:r w:rsidR="00C80404" w:rsidRPr="000A7FD1">
        <w:t xml:space="preserve">to determine whether the control </w:t>
      </w:r>
      <w:r w:rsidR="00E0264E" w:rsidRPr="000A7FD1">
        <w:t>activity is</w:t>
      </w:r>
      <w:r w:rsidR="00C80404" w:rsidRPr="000A7FD1">
        <w:t xml:space="preserve"> functioning in the manner understood by the auditor. These walk-throughs are </w:t>
      </w:r>
      <w:r w:rsidR="002D5E62" w:rsidRPr="000A7FD1">
        <w:t xml:space="preserve">performed </w:t>
      </w:r>
      <w:r w:rsidR="00C80404" w:rsidRPr="000A7FD1">
        <w:t xml:space="preserve">to </w:t>
      </w:r>
      <w:r w:rsidR="002D5E62" w:rsidRPr="000A7FD1">
        <w:t>determine whether relevant control activities have been</w:t>
      </w:r>
      <w:r w:rsidR="00C80404" w:rsidRPr="000A7FD1">
        <w:t xml:space="preserve"> </w:t>
      </w:r>
      <w:r w:rsidR="002D5E62" w:rsidRPr="000A7FD1">
        <w:t>implemented</w:t>
      </w:r>
      <w:r w:rsidR="00C80404" w:rsidRPr="000A7FD1">
        <w:t xml:space="preserve"> and differ from those performed to confirm the auditor’s understanding of the information systems (see FAM 320.02). </w:t>
      </w:r>
      <w:r w:rsidR="00D910C5" w:rsidRPr="000A7FD1">
        <w:t>These walk</w:t>
      </w:r>
      <w:r w:rsidR="00676AC5" w:rsidRPr="000A7FD1">
        <w:t>-</w:t>
      </w:r>
      <w:r w:rsidR="00D910C5" w:rsidRPr="000A7FD1">
        <w:t xml:space="preserve">throughs include </w:t>
      </w:r>
      <w:r w:rsidR="009C2861" w:rsidRPr="000A7FD1">
        <w:t xml:space="preserve">a mix of </w:t>
      </w:r>
      <w:r w:rsidR="00C80404" w:rsidRPr="000A7FD1">
        <w:t>observation, inspection, and</w:t>
      </w:r>
      <w:r w:rsidR="00676AC5" w:rsidRPr="000A7FD1">
        <w:t xml:space="preserve"> </w:t>
      </w:r>
      <w:r w:rsidR="001228B9" w:rsidRPr="000A7FD1">
        <w:t>inquir</w:t>
      </w:r>
      <w:r w:rsidR="00B12F28" w:rsidRPr="000A7FD1">
        <w:t>y</w:t>
      </w:r>
      <w:r w:rsidR="001228B9" w:rsidRPr="000A7FD1">
        <w:t xml:space="preserve"> </w:t>
      </w:r>
      <w:r w:rsidR="00C80404" w:rsidRPr="000A7FD1">
        <w:t>with personnel responsible for applying or maintaining each control</w:t>
      </w:r>
      <w:r w:rsidR="005F7DF5" w:rsidRPr="000A7FD1">
        <w:t xml:space="preserve"> activity</w:t>
      </w:r>
      <w:r w:rsidR="00450FEB" w:rsidRPr="000A7FD1">
        <w:t xml:space="preserve"> (see FAM 350.1</w:t>
      </w:r>
      <w:r w:rsidR="00C40ED5" w:rsidRPr="000A7FD1">
        <w:t>4</w:t>
      </w:r>
      <w:r w:rsidR="00450FEB" w:rsidRPr="000A7FD1">
        <w:t>–.1</w:t>
      </w:r>
      <w:r w:rsidR="00C40ED5" w:rsidRPr="000A7FD1">
        <w:t>6</w:t>
      </w:r>
      <w:r w:rsidR="00450FEB" w:rsidRPr="000A7FD1">
        <w:t>)</w:t>
      </w:r>
      <w:r w:rsidR="00D910C5" w:rsidRPr="000A7FD1">
        <w:t xml:space="preserve">. </w:t>
      </w:r>
    </w:p>
    <w:p w14:paraId="3531D884" w14:textId="74E1F6FE" w:rsidR="003C5930" w:rsidRPr="000A7FD1" w:rsidRDefault="003C5930" w:rsidP="0046417C">
      <w:pPr>
        <w:pStyle w:val="FAMSubsection"/>
      </w:pPr>
      <w:r w:rsidRPr="000A7FD1">
        <w:t xml:space="preserve">Based on AU-C 315.30b, through these walk-throughs and the system walk-throughs discussed in FAM 320.02, the auditor should determine whether each </w:t>
      </w:r>
      <w:r w:rsidR="00126831" w:rsidRPr="000A7FD1">
        <w:t xml:space="preserve">relevant </w:t>
      </w:r>
      <w:r w:rsidRPr="000A7FD1">
        <w:t xml:space="preserve">control activity has, in fact, been implemented. If a </w:t>
      </w:r>
      <w:r w:rsidR="00126831" w:rsidRPr="000A7FD1">
        <w:t xml:space="preserve">relevant </w:t>
      </w:r>
      <w:r w:rsidRPr="000A7FD1">
        <w:t xml:space="preserve">control activity has not been implemented, the auditor should consider whether one or more other control activities are likely to achieve the same objective, and if so, the auditor should determine </w:t>
      </w:r>
      <w:r w:rsidR="00FC3905" w:rsidRPr="000A7FD1">
        <w:t xml:space="preserve">whether such </w:t>
      </w:r>
      <w:r w:rsidR="00B25C51" w:rsidRPr="000A7FD1">
        <w:t xml:space="preserve">control </w:t>
      </w:r>
      <w:r w:rsidR="00FC3905" w:rsidRPr="000A7FD1">
        <w:t>activity has</w:t>
      </w:r>
      <w:r w:rsidRPr="000A7FD1">
        <w:t xml:space="preserve"> been implemented. If such other control activities </w:t>
      </w:r>
      <w:r w:rsidR="00126831" w:rsidRPr="000A7FD1">
        <w:t>have been</w:t>
      </w:r>
      <w:r w:rsidRPr="000A7FD1">
        <w:t xml:space="preserve"> implemented, the auditor should update the SCE </w:t>
      </w:r>
      <w:r w:rsidR="004818B8" w:rsidRPr="000A7FD1">
        <w:t xml:space="preserve">worksheet </w:t>
      </w:r>
      <w:r w:rsidRPr="000A7FD1">
        <w:t>accordingly.</w:t>
      </w:r>
    </w:p>
    <w:p w14:paraId="715624C5" w14:textId="1BCD75E5" w:rsidR="004F2DF2" w:rsidRPr="000A7FD1" w:rsidRDefault="004F2DF2" w:rsidP="0046417C">
      <w:pPr>
        <w:pStyle w:val="FAMSubsection"/>
      </w:pPr>
      <w:r w:rsidRPr="000A7FD1">
        <w:t xml:space="preserve">In obtaining evidence about whether </w:t>
      </w:r>
      <w:r w:rsidR="00126831" w:rsidRPr="000A7FD1">
        <w:t xml:space="preserve">relevant </w:t>
      </w:r>
      <w:r w:rsidRPr="000A7FD1">
        <w:t>control</w:t>
      </w:r>
      <w:r w:rsidR="00126831" w:rsidRPr="000A7FD1">
        <w:t xml:space="preserve"> activitie</w:t>
      </w:r>
      <w:r w:rsidRPr="000A7FD1">
        <w:t xml:space="preserve">s have been implemented, the auditor should determine whether the entity is using them rather than merely having them written in a manual. This differs from determining operating effectiveness, which is concerned with how the control </w:t>
      </w:r>
      <w:r w:rsidR="00126831" w:rsidRPr="000A7FD1">
        <w:t xml:space="preserve">activity </w:t>
      </w:r>
      <w:r w:rsidRPr="000A7FD1">
        <w:t xml:space="preserve">was applied; the consistency with which it was applied; and by whom and by what means it was applied, including, when applicable, whether the person performing the control </w:t>
      </w:r>
      <w:r w:rsidR="00126831" w:rsidRPr="000A7FD1">
        <w:t xml:space="preserve">activity </w:t>
      </w:r>
      <w:r w:rsidRPr="000A7FD1">
        <w:t>has the necessary authority and competence to perform it effectively.</w:t>
      </w:r>
    </w:p>
    <w:p w14:paraId="0C597F4E" w14:textId="3430A357" w:rsidR="00C80404" w:rsidRPr="000A7FD1" w:rsidRDefault="00C80404" w:rsidP="00D171E0">
      <w:pPr>
        <w:pStyle w:val="Heading3"/>
        <w:spacing w:before="0"/>
        <w:ind w:left="360"/>
        <w:rPr>
          <w:rFonts w:ascii="Arial" w:hAnsi="Arial"/>
        </w:rPr>
      </w:pPr>
      <w:r w:rsidRPr="000A7FD1">
        <w:rPr>
          <w:rFonts w:ascii="Arial" w:hAnsi="Arial"/>
        </w:rPr>
        <w:t xml:space="preserve">Document </w:t>
      </w:r>
      <w:r w:rsidR="00126831" w:rsidRPr="000A7FD1">
        <w:rPr>
          <w:rFonts w:ascii="Arial" w:hAnsi="Arial"/>
        </w:rPr>
        <w:t xml:space="preserve">Relevant </w:t>
      </w:r>
      <w:r w:rsidRPr="000A7FD1">
        <w:rPr>
          <w:rFonts w:ascii="Arial" w:hAnsi="Arial"/>
        </w:rPr>
        <w:t xml:space="preserve">Control Activities </w:t>
      </w:r>
    </w:p>
    <w:p w14:paraId="60758815" w14:textId="57DD1300" w:rsidR="00C80404" w:rsidRPr="000A7FD1" w:rsidRDefault="00C80404" w:rsidP="004A102E">
      <w:pPr>
        <w:pStyle w:val="FAMSubsection"/>
      </w:pPr>
      <w:r w:rsidRPr="000A7FD1">
        <w:t xml:space="preserve">The auditor should document </w:t>
      </w:r>
      <w:r w:rsidR="00126831" w:rsidRPr="000A7FD1">
        <w:t xml:space="preserve">relevant </w:t>
      </w:r>
      <w:r w:rsidRPr="000A7FD1">
        <w:t xml:space="preserve">control activities </w:t>
      </w:r>
      <w:r w:rsidR="004266DE" w:rsidRPr="000A7FD1">
        <w:t xml:space="preserve">and whether they have been implemented </w:t>
      </w:r>
      <w:r w:rsidR="005C17A8" w:rsidRPr="000A7FD1">
        <w:t xml:space="preserve">in </w:t>
      </w:r>
      <w:r w:rsidRPr="000A7FD1">
        <w:t xml:space="preserve">the SCE worksheet or equivalent (see FAM 395 </w:t>
      </w:r>
      <w:r w:rsidR="0061086C" w:rsidRPr="000A7FD1">
        <w:t>G</w:t>
      </w:r>
      <w:r w:rsidRPr="000A7FD1">
        <w:t>).</w:t>
      </w:r>
      <w:r w:rsidR="00A91B63" w:rsidRPr="000A7FD1">
        <w:rPr>
          <w:rStyle w:val="FootnoteReference"/>
        </w:rPr>
        <w:footnoteReference w:id="6"/>
      </w:r>
      <w:r w:rsidRPr="000A7FD1">
        <w:t xml:space="preserve"> The auditor may list (and evaluate) control</w:t>
      </w:r>
      <w:r w:rsidR="00E75EDE" w:rsidRPr="000A7FD1">
        <w:t xml:space="preserve"> activitie</w:t>
      </w:r>
      <w:r w:rsidRPr="000A7FD1">
        <w:t>s that satisfy more than one control objective only once and refer to these control</w:t>
      </w:r>
      <w:r w:rsidR="004674DA" w:rsidRPr="000A7FD1">
        <w:t xml:space="preserve"> activitie</w:t>
      </w:r>
      <w:r w:rsidRPr="000A7FD1">
        <w:t xml:space="preserve">s, when applicable, on subsequent occasions. For each </w:t>
      </w:r>
      <w:r w:rsidR="005559EF" w:rsidRPr="000A7FD1">
        <w:t xml:space="preserve">relevant </w:t>
      </w:r>
      <w:r w:rsidRPr="000A7FD1">
        <w:t>control</w:t>
      </w:r>
      <w:r w:rsidR="00E75EDE" w:rsidRPr="000A7FD1">
        <w:t xml:space="preserve"> activity</w:t>
      </w:r>
      <w:r w:rsidRPr="000A7FD1">
        <w:t xml:space="preserve">, the auditor should determine whether </w:t>
      </w:r>
      <w:r w:rsidR="005559EF" w:rsidRPr="000A7FD1">
        <w:t>it</w:t>
      </w:r>
      <w:r w:rsidRPr="000A7FD1">
        <w:t xml:space="preserve"> is an </w:t>
      </w:r>
      <w:r w:rsidR="005B0528" w:rsidRPr="000A7FD1">
        <w:t>IS</w:t>
      </w:r>
      <w:r w:rsidRPr="000A7FD1">
        <w:t xml:space="preserve"> control</w:t>
      </w:r>
      <w:r w:rsidR="00F41710" w:rsidRPr="000A7FD1">
        <w:t>,</w:t>
      </w:r>
      <w:r w:rsidRPr="000A7FD1">
        <w:t xml:space="preserve"> as discussed </w:t>
      </w:r>
      <w:r w:rsidR="003413A8" w:rsidRPr="000A7FD1">
        <w:rPr>
          <w:szCs w:val="22"/>
        </w:rPr>
        <w:t xml:space="preserve">in FAM </w:t>
      </w:r>
      <w:r w:rsidR="008D5059" w:rsidRPr="000A7FD1">
        <w:rPr>
          <w:szCs w:val="22"/>
        </w:rPr>
        <w:t>270</w:t>
      </w:r>
      <w:r w:rsidR="003413A8" w:rsidRPr="000A7FD1">
        <w:rPr>
          <w:szCs w:val="22"/>
        </w:rPr>
        <w:t xml:space="preserve"> and FAM 295 F</w:t>
      </w:r>
      <w:r w:rsidRPr="000A7FD1">
        <w:t xml:space="preserve">. </w:t>
      </w:r>
      <w:r w:rsidR="00095F4C" w:rsidRPr="000A7FD1">
        <w:t>The auditor generally should obtain concurrence from a</w:t>
      </w:r>
      <w:r w:rsidRPr="000A7FD1">
        <w:t xml:space="preserve">n IS controls </w:t>
      </w:r>
      <w:r w:rsidR="0091746B" w:rsidRPr="000A7FD1">
        <w:t xml:space="preserve">auditor </w:t>
      </w:r>
      <w:r w:rsidR="00095F4C" w:rsidRPr="000A7FD1">
        <w:t>on</w:t>
      </w:r>
      <w:r w:rsidRPr="000A7FD1">
        <w:t xml:space="preserve"> </w:t>
      </w:r>
      <w:r w:rsidRPr="000A7FD1">
        <w:lastRenderedPageBreak/>
        <w:t xml:space="preserve">the auditor’s identification of </w:t>
      </w:r>
      <w:r w:rsidR="005B0528" w:rsidRPr="000A7FD1">
        <w:t>IS</w:t>
      </w:r>
      <w:r w:rsidRPr="000A7FD1">
        <w:t xml:space="preserve"> controls.</w:t>
      </w:r>
      <w:r w:rsidR="00126831" w:rsidRPr="000A7FD1">
        <w:t xml:space="preserve"> See FAM 390.02 for documentation requirements </w:t>
      </w:r>
      <w:r w:rsidR="005559EF" w:rsidRPr="000A7FD1">
        <w:t>related to all five</w:t>
      </w:r>
      <w:r w:rsidR="00126831" w:rsidRPr="000A7FD1">
        <w:t xml:space="preserve"> components of internal control.</w:t>
      </w:r>
    </w:p>
    <w:p w14:paraId="2DADBF90" w14:textId="71134F22" w:rsidR="008D5059" w:rsidRPr="000A7FD1" w:rsidRDefault="008D5059" w:rsidP="008D5059">
      <w:pPr>
        <w:pStyle w:val="FAMSubsection"/>
      </w:pPr>
      <w:r w:rsidRPr="000A7FD1">
        <w:t xml:space="preserve">Before testing </w:t>
      </w:r>
      <w:r w:rsidR="005559EF" w:rsidRPr="000A7FD1">
        <w:t xml:space="preserve">relevant </w:t>
      </w:r>
      <w:r w:rsidRPr="000A7FD1">
        <w:t xml:space="preserve">control activities, the auditor may </w:t>
      </w:r>
      <w:r w:rsidR="005272AC" w:rsidRPr="000A7FD1">
        <w:t xml:space="preserve">tentatively </w:t>
      </w:r>
      <w:r w:rsidRPr="000A7FD1">
        <w:t xml:space="preserve">complete the LIRA form or equivalent, assuming that </w:t>
      </w:r>
      <w:r w:rsidR="005559EF" w:rsidRPr="000A7FD1">
        <w:t>they</w:t>
      </w:r>
      <w:r w:rsidRPr="000A7FD1">
        <w:t xml:space="preserve"> are effective.</w:t>
      </w:r>
    </w:p>
    <w:p w14:paraId="17F2890A" w14:textId="77777777" w:rsidR="00C80404" w:rsidRPr="000A7FD1" w:rsidRDefault="00C80404" w:rsidP="00F363DF">
      <w:pPr>
        <w:pStyle w:val="StyleHeading3FAM"/>
      </w:pPr>
      <w:r w:rsidRPr="000A7FD1">
        <w:t>Determine the Nature of Control Tests</w:t>
      </w:r>
    </w:p>
    <w:p w14:paraId="48AA5B06" w14:textId="6D377D7E" w:rsidR="000975E0" w:rsidRPr="000A7FD1" w:rsidRDefault="00C80404" w:rsidP="004A102E">
      <w:pPr>
        <w:pStyle w:val="FAM-Subsection"/>
      </w:pPr>
      <w:r w:rsidRPr="000A7FD1">
        <w:t xml:space="preserve">To obtain sufficient, appropriate evidence </w:t>
      </w:r>
      <w:r w:rsidR="00575B71" w:rsidRPr="000A7FD1">
        <w:t xml:space="preserve">about </w:t>
      </w:r>
      <w:r w:rsidRPr="000A7FD1">
        <w:t xml:space="preserve">the effectiveness of </w:t>
      </w:r>
      <w:r w:rsidR="00575B71" w:rsidRPr="000A7FD1">
        <w:t xml:space="preserve">relevant </w:t>
      </w:r>
      <w:r w:rsidRPr="000A7FD1">
        <w:t>control</w:t>
      </w:r>
      <w:r w:rsidR="00A960CF" w:rsidRPr="000A7FD1">
        <w:t xml:space="preserve"> activities</w:t>
      </w:r>
      <w:r w:rsidR="00305A6E" w:rsidRPr="000A7FD1">
        <w:t xml:space="preserve"> as well as </w:t>
      </w:r>
      <w:r w:rsidR="00575B71" w:rsidRPr="000A7FD1">
        <w:t xml:space="preserve">the </w:t>
      </w:r>
      <w:r w:rsidR="00305A6E" w:rsidRPr="000A7FD1">
        <w:t>other components of internal control (see FAM 360.19)</w:t>
      </w:r>
      <w:r w:rsidRPr="000A7FD1">
        <w:t>, the auditor should determine the combination of control tests (</w:t>
      </w:r>
      <w:r w:rsidRPr="000A7FD1">
        <w:rPr>
          <w:b/>
        </w:rPr>
        <w:t xml:space="preserve">observation, inquiry, </w:t>
      </w:r>
      <w:r w:rsidR="002E2B76" w:rsidRPr="000A7FD1">
        <w:t>or</w:t>
      </w:r>
      <w:r w:rsidR="002E2B76" w:rsidRPr="000A7FD1">
        <w:rPr>
          <w:b/>
        </w:rPr>
        <w:t xml:space="preserve"> </w:t>
      </w:r>
      <w:r w:rsidRPr="000A7FD1">
        <w:rPr>
          <w:b/>
        </w:rPr>
        <w:t>inspection</w:t>
      </w:r>
      <w:r w:rsidRPr="000A7FD1">
        <w:t>) to be performed. No one specific control test is always necessary, applicable, or equally effective in every circumstance.</w:t>
      </w:r>
      <w:r w:rsidR="00420F7A" w:rsidRPr="000A7FD1">
        <w:t xml:space="preserve"> </w:t>
      </w:r>
      <w:r w:rsidR="00AA79CB" w:rsidRPr="000A7FD1">
        <w:t>I</w:t>
      </w:r>
      <w:r w:rsidRPr="000A7FD1">
        <w:t xml:space="preserve">n designing and performing tests of controls, the auditor should </w:t>
      </w:r>
      <w:r w:rsidR="008C20C4" w:rsidRPr="000A7FD1">
        <w:t>do the following:</w:t>
      </w:r>
    </w:p>
    <w:p w14:paraId="7E6A8646" w14:textId="27D13AFE" w:rsidR="000975E0" w:rsidRPr="000A7FD1" w:rsidRDefault="008C20C4" w:rsidP="000D1813">
      <w:pPr>
        <w:pStyle w:val="FAM-Subsection"/>
        <w:numPr>
          <w:ilvl w:val="0"/>
          <w:numId w:val="71"/>
        </w:numPr>
        <w:ind w:left="1800"/>
      </w:pPr>
      <w:r w:rsidRPr="000A7FD1">
        <w:t xml:space="preserve">Perform </w:t>
      </w:r>
      <w:r w:rsidR="00C80404" w:rsidRPr="000A7FD1">
        <w:t xml:space="preserve">other audit procedures in combination with inquiry to obtain sufficient appropriate audit evidence </w:t>
      </w:r>
      <w:r w:rsidR="000975E0" w:rsidRPr="000A7FD1">
        <w:t>about</w:t>
      </w:r>
      <w:r w:rsidR="00C80404" w:rsidRPr="000A7FD1">
        <w:t xml:space="preserve"> the operating effectiveness of controls, including </w:t>
      </w:r>
    </w:p>
    <w:p w14:paraId="4180F2E4" w14:textId="08348673" w:rsidR="000975E0" w:rsidRPr="000A7FD1" w:rsidRDefault="00C80404" w:rsidP="000D1813">
      <w:pPr>
        <w:pStyle w:val="FAM-Subsection"/>
        <w:numPr>
          <w:ilvl w:val="1"/>
          <w:numId w:val="72"/>
        </w:numPr>
        <w:ind w:left="2160"/>
      </w:pPr>
      <w:r w:rsidRPr="000A7FD1">
        <w:t>how the controls were applied at relevant time</w:t>
      </w:r>
      <w:r w:rsidR="00E11661" w:rsidRPr="000A7FD1">
        <w:t>s during the period under audit</w:t>
      </w:r>
      <w:r w:rsidR="008C20C4" w:rsidRPr="000A7FD1">
        <w:t xml:space="preserve">; </w:t>
      </w:r>
    </w:p>
    <w:p w14:paraId="115D1F81" w14:textId="18EEF48A" w:rsidR="000975E0" w:rsidRPr="000A7FD1" w:rsidRDefault="00C80404" w:rsidP="000D1813">
      <w:pPr>
        <w:pStyle w:val="FAM-Subsection"/>
        <w:numPr>
          <w:ilvl w:val="1"/>
          <w:numId w:val="72"/>
        </w:numPr>
        <w:ind w:left="2160"/>
      </w:pPr>
      <w:r w:rsidRPr="000A7FD1">
        <w:t>the consisten</w:t>
      </w:r>
      <w:r w:rsidR="00E11661" w:rsidRPr="000A7FD1">
        <w:t>cy with which they were applied</w:t>
      </w:r>
      <w:r w:rsidR="008C20C4" w:rsidRPr="000A7FD1">
        <w:t xml:space="preserve">; </w:t>
      </w:r>
      <w:r w:rsidRPr="000A7FD1">
        <w:t xml:space="preserve">and </w:t>
      </w:r>
    </w:p>
    <w:p w14:paraId="00E99DD6" w14:textId="3171D92A" w:rsidR="000975E0" w:rsidRPr="000A7FD1" w:rsidRDefault="00C80404" w:rsidP="000D1813">
      <w:pPr>
        <w:pStyle w:val="FAM-Subsection"/>
        <w:numPr>
          <w:ilvl w:val="1"/>
          <w:numId w:val="72"/>
        </w:numPr>
        <w:ind w:left="2160"/>
      </w:pPr>
      <w:r w:rsidRPr="000A7FD1">
        <w:t>by whom or by what means they were applied, including, when applicable, whether the person performing the control possesses the necessary authority and competence to perform the control effectively</w:t>
      </w:r>
      <w:r w:rsidR="0004481B" w:rsidRPr="000A7FD1">
        <w:t xml:space="preserve"> (AU-C 330.10a)</w:t>
      </w:r>
      <w:r w:rsidR="00DC206E" w:rsidRPr="000A7FD1">
        <w:t>.</w:t>
      </w:r>
    </w:p>
    <w:p w14:paraId="0ED0750E" w14:textId="5E8ADA77" w:rsidR="00206AB2" w:rsidRPr="000A7FD1" w:rsidRDefault="008C20C4" w:rsidP="000D1813">
      <w:pPr>
        <w:pStyle w:val="FAM-Subsection"/>
        <w:numPr>
          <w:ilvl w:val="0"/>
          <w:numId w:val="71"/>
        </w:numPr>
        <w:ind w:left="1800"/>
      </w:pPr>
      <w:r w:rsidRPr="000A7FD1">
        <w:t>To</w:t>
      </w:r>
      <w:r w:rsidR="00993A79" w:rsidRPr="000A7FD1">
        <w:t xml:space="preserve"> the extent not already addressed, </w:t>
      </w:r>
      <w:r w:rsidR="00606D49" w:rsidRPr="000A7FD1">
        <w:t>determine whether the controls to be tested depend on other controls and, if so, whether it is necessary to obtain audit evidence supporting the operating effectiveness of those controls (AU-C 330.10</w:t>
      </w:r>
      <w:r w:rsidR="00970402" w:rsidRPr="000A7FD1">
        <w:t>b</w:t>
      </w:r>
      <w:r w:rsidR="00606D49" w:rsidRPr="000A7FD1">
        <w:t xml:space="preserve">). </w:t>
      </w:r>
    </w:p>
    <w:p w14:paraId="04C07563" w14:textId="3CFC8B64" w:rsidR="00CA3943" w:rsidRPr="000A7FD1" w:rsidRDefault="00606D49" w:rsidP="00CA3943">
      <w:pPr>
        <w:pStyle w:val="FAM-Subsection"/>
        <w:numPr>
          <w:ilvl w:val="0"/>
          <w:numId w:val="0"/>
        </w:numPr>
        <w:ind w:left="1800"/>
      </w:pPr>
      <w:r w:rsidRPr="000A7FD1">
        <w:t xml:space="preserve">For example, </w:t>
      </w:r>
      <w:r w:rsidR="00333719" w:rsidRPr="000A7FD1">
        <w:t xml:space="preserve">the auditor may have identified relevant control activities that depend on information system processing. As discussed in FAM 270, such control activities are often application and user controls. The auditor should identify and test the </w:t>
      </w:r>
      <w:r w:rsidR="00A743C2" w:rsidRPr="000A7FD1">
        <w:t xml:space="preserve">general controls </w:t>
      </w:r>
      <w:r w:rsidR="00333719" w:rsidRPr="000A7FD1">
        <w:t xml:space="preserve">that </w:t>
      </w:r>
      <w:r w:rsidR="00CA3943" w:rsidRPr="000A7FD1">
        <w:t xml:space="preserve">help to ensure the </w:t>
      </w:r>
      <w:r w:rsidR="00333719" w:rsidRPr="000A7FD1">
        <w:t xml:space="preserve">effective operation of </w:t>
      </w:r>
      <w:r w:rsidR="00CA3943" w:rsidRPr="000A7FD1">
        <w:t xml:space="preserve">application </w:t>
      </w:r>
      <w:r w:rsidR="00333719" w:rsidRPr="000A7FD1">
        <w:t xml:space="preserve">and user </w:t>
      </w:r>
      <w:r w:rsidR="00CA3943" w:rsidRPr="000A7FD1">
        <w:t xml:space="preserve">controls. </w:t>
      </w:r>
      <w:r w:rsidR="00333719" w:rsidRPr="000A7FD1">
        <w:t xml:space="preserve">See </w:t>
      </w:r>
      <w:r w:rsidR="00376DEB" w:rsidRPr="000A7FD1">
        <w:t>FAM 360</w:t>
      </w:r>
      <w:r w:rsidR="00333719" w:rsidRPr="000A7FD1">
        <w:t xml:space="preserve"> for guidance on testing general, application, and user controls</w:t>
      </w:r>
      <w:r w:rsidR="00A743C2" w:rsidRPr="000A7FD1">
        <w:t xml:space="preserve">. </w:t>
      </w:r>
    </w:p>
    <w:p w14:paraId="4E7FFE54" w14:textId="0AC4B7BA" w:rsidR="00C80404" w:rsidRPr="000A7FD1" w:rsidRDefault="000B509C" w:rsidP="00206AB2">
      <w:pPr>
        <w:pStyle w:val="FAM-Subsection"/>
        <w:numPr>
          <w:ilvl w:val="0"/>
          <w:numId w:val="0"/>
        </w:numPr>
        <w:ind w:left="1440"/>
      </w:pPr>
      <w:r w:rsidRPr="000A7FD1">
        <w:t>See FAM 340 for the factors to consider when evaluating whether controls are likely to achieve the control objective.</w:t>
      </w:r>
      <w:r w:rsidR="00C80404" w:rsidRPr="000A7FD1">
        <w:t xml:space="preserve"> In determining the types of tests to apply, the auditor should determine the tests that are effective and efficient. Specific types of control tests and methods to apply them are discussed in the following paragraphs.</w:t>
      </w:r>
    </w:p>
    <w:p w14:paraId="1F4CB11D" w14:textId="73AE6EA3" w:rsidR="00C80404" w:rsidRPr="000A7FD1" w:rsidRDefault="00C80404" w:rsidP="004A102E">
      <w:pPr>
        <w:pStyle w:val="FAM-Subsection"/>
      </w:pPr>
      <w:r w:rsidRPr="000A7FD1">
        <w:rPr>
          <w:b/>
        </w:rPr>
        <w:t xml:space="preserve">Observation. </w:t>
      </w:r>
      <w:r w:rsidRPr="000A7FD1">
        <w:t>The auditor conducts observation tests</w:t>
      </w:r>
      <w:r w:rsidR="009C4BBF" w:rsidRPr="000A7FD1">
        <w:t>, which include looking at a process or procedure being performed by others (for example, the auditor’s observation of inventory counting by the entity’s personnel or the performance of control activities</w:t>
      </w:r>
      <w:r w:rsidR="00295D56" w:rsidRPr="000A7FD1">
        <w:t>)</w:t>
      </w:r>
      <w:r w:rsidR="009C4BBF" w:rsidRPr="000A7FD1">
        <w:t xml:space="preserve"> (AU-C 500.A52)</w:t>
      </w:r>
      <w:r w:rsidRPr="000A7FD1">
        <w:t xml:space="preserve">. Observation generally provides highly reliable evidence that a control activity is properly applied when the auditor is there to observe it. However, it provides no evidence that the control was in operation at any other time. Consequently, the auditor </w:t>
      </w:r>
      <w:r w:rsidR="00C30F93" w:rsidRPr="000A7FD1">
        <w:t xml:space="preserve">generally </w:t>
      </w:r>
      <w:r w:rsidRPr="000A7FD1">
        <w:t xml:space="preserve">should supplement observation tests with corroborative evidence obtained from other tests (such as </w:t>
      </w:r>
      <w:r w:rsidRPr="000A7FD1">
        <w:rPr>
          <w:b/>
        </w:rPr>
        <w:t>inquiry</w:t>
      </w:r>
      <w:r w:rsidRPr="000A7FD1">
        <w:t xml:space="preserve"> and </w:t>
      </w:r>
      <w:r w:rsidRPr="000A7FD1">
        <w:rPr>
          <w:b/>
        </w:rPr>
        <w:t>inspection</w:t>
      </w:r>
      <w:r w:rsidRPr="000A7FD1">
        <w:t>) about the operation of controls at other times.</w:t>
      </w:r>
    </w:p>
    <w:p w14:paraId="5C335BC8" w14:textId="4BD0C4AC" w:rsidR="00C80404" w:rsidRPr="000A7FD1" w:rsidRDefault="00C80404" w:rsidP="004A102E">
      <w:pPr>
        <w:pStyle w:val="FAM-Subsection"/>
      </w:pPr>
      <w:r w:rsidRPr="000A7FD1">
        <w:rPr>
          <w:b/>
        </w:rPr>
        <w:lastRenderedPageBreak/>
        <w:t xml:space="preserve">Inquiry. </w:t>
      </w:r>
      <w:r w:rsidRPr="000A7FD1">
        <w:t xml:space="preserve">The auditor conducts inquiry tests by </w:t>
      </w:r>
      <w:r w:rsidR="009C4BBF" w:rsidRPr="000A7FD1">
        <w:t xml:space="preserve">seeking information, both financial and nonfinancial, from knowledgeable persons within the entity or outside the entity (AU-C 500.A62). The auditor makes </w:t>
      </w:r>
      <w:r w:rsidRPr="000A7FD1">
        <w:t>either oral or written inquiries of entity personnel involved in the application of specific control activities to determine what they do or how they perform a specific control activity. Such inquiries are typically open ended. Evidence obtained from inquiry alone is not sufficient</w:t>
      </w:r>
      <w:r w:rsidR="00C8082B" w:rsidRPr="000A7FD1">
        <w:t>. T</w:t>
      </w:r>
      <w:r w:rsidRPr="000A7FD1">
        <w:t>hus, the auditor should supplement inquiry with other types of control tests</w:t>
      </w:r>
      <w:r w:rsidR="00EC1BA8" w:rsidRPr="000A7FD1">
        <w:t>—</w:t>
      </w:r>
      <w:r w:rsidRPr="000A7FD1">
        <w:rPr>
          <w:b/>
        </w:rPr>
        <w:t>observation</w:t>
      </w:r>
      <w:r w:rsidRPr="000A7FD1">
        <w:t xml:space="preserve"> or </w:t>
      </w:r>
      <w:r w:rsidRPr="000A7FD1">
        <w:rPr>
          <w:b/>
        </w:rPr>
        <w:t>inspection</w:t>
      </w:r>
      <w:r w:rsidRPr="000A7FD1">
        <w:t xml:space="preserve"> (which may include reperformance). Combining inquiry with inspection typically provides more assurance than inquiry combined only with observation. The reliability of evidence obtained from inquiry depends on various factors</w:t>
      </w:r>
      <w:r w:rsidR="00EC1BA8" w:rsidRPr="000A7FD1">
        <w:t>, including the following:</w:t>
      </w:r>
    </w:p>
    <w:p w14:paraId="3954F4FA" w14:textId="5E044037" w:rsidR="00C80404" w:rsidRPr="000A7FD1" w:rsidRDefault="003A2D9D" w:rsidP="000D1813">
      <w:pPr>
        <w:pStyle w:val="FAM-Bullet-1"/>
        <w:numPr>
          <w:ilvl w:val="0"/>
          <w:numId w:val="53"/>
        </w:numPr>
        <w:ind w:left="1800"/>
      </w:pPr>
      <w:r w:rsidRPr="000A7FD1">
        <w:t>T</w:t>
      </w:r>
      <w:r w:rsidR="00C80404" w:rsidRPr="000A7FD1">
        <w:t>he competence, experience, knowledge, independence, and integrity of the person of whom the inquiry was made. The reliability of evidence is enhanced when the person possesses these attributes</w:t>
      </w:r>
      <w:r w:rsidRPr="000A7FD1">
        <w:t>.</w:t>
      </w:r>
    </w:p>
    <w:p w14:paraId="0B46F530" w14:textId="5C914F46" w:rsidR="00C80404" w:rsidRPr="000A7FD1" w:rsidRDefault="003A2D9D" w:rsidP="000D1813">
      <w:pPr>
        <w:pStyle w:val="FAM-Bullet-1"/>
        <w:numPr>
          <w:ilvl w:val="0"/>
          <w:numId w:val="53"/>
        </w:numPr>
        <w:ind w:left="1800"/>
      </w:pPr>
      <w:r w:rsidRPr="000A7FD1">
        <w:t>W</w:t>
      </w:r>
      <w:r w:rsidR="00C80404" w:rsidRPr="000A7FD1">
        <w:t xml:space="preserve">hether the evidence </w:t>
      </w:r>
      <w:r w:rsidR="00745AF4" w:rsidRPr="000A7FD1">
        <w:t>i</w:t>
      </w:r>
      <w:r w:rsidR="00C80404" w:rsidRPr="000A7FD1">
        <w:t>s general or specific. Evidence that is specific is usually more reliable than evidence that is general</w:t>
      </w:r>
      <w:r w:rsidRPr="000A7FD1">
        <w:t>.</w:t>
      </w:r>
    </w:p>
    <w:p w14:paraId="3C38E829" w14:textId="5939D966" w:rsidR="00C80404" w:rsidRPr="000A7FD1" w:rsidRDefault="003A2D9D" w:rsidP="000D1813">
      <w:pPr>
        <w:pStyle w:val="FAM-Bullet-1"/>
        <w:numPr>
          <w:ilvl w:val="0"/>
          <w:numId w:val="53"/>
        </w:numPr>
        <w:ind w:left="1800"/>
      </w:pPr>
      <w:r w:rsidRPr="000A7FD1">
        <w:t>T</w:t>
      </w:r>
      <w:r w:rsidR="00C80404" w:rsidRPr="000A7FD1">
        <w:t>he extent of corroborative evidence obtained. Evidence obtained from several entity personnel is usually more reliable than evidence obtained from only one</w:t>
      </w:r>
      <w:r w:rsidR="00EC1BA8" w:rsidRPr="000A7FD1">
        <w:t xml:space="preserve"> person</w:t>
      </w:r>
      <w:r w:rsidRPr="000A7FD1">
        <w:t>.</w:t>
      </w:r>
    </w:p>
    <w:p w14:paraId="6E2F4FCC" w14:textId="4DB1CB3D" w:rsidR="00C80404" w:rsidRPr="000A7FD1" w:rsidRDefault="003A2D9D" w:rsidP="000D1813">
      <w:pPr>
        <w:pStyle w:val="FAM-Bullet-1"/>
        <w:numPr>
          <w:ilvl w:val="0"/>
          <w:numId w:val="53"/>
        </w:numPr>
        <w:ind w:left="1800"/>
      </w:pPr>
      <w:r w:rsidRPr="000A7FD1">
        <w:t>W</w:t>
      </w:r>
      <w:r w:rsidR="00C80404" w:rsidRPr="000A7FD1">
        <w:t>hether the evidence was provided orally or in writing. Generally, evidence provided in writing is more reliable than evidence provided orally.</w:t>
      </w:r>
    </w:p>
    <w:p w14:paraId="28153C52" w14:textId="1C061A8D" w:rsidR="00C80404" w:rsidRPr="000A7FD1" w:rsidRDefault="00C80404" w:rsidP="004A102E">
      <w:pPr>
        <w:pStyle w:val="FAM-Subsection"/>
      </w:pPr>
      <w:r w:rsidRPr="000A7FD1">
        <w:rPr>
          <w:b/>
        </w:rPr>
        <w:t xml:space="preserve">Inspection. </w:t>
      </w:r>
      <w:r w:rsidRPr="000A7FD1">
        <w:t xml:space="preserve">The auditor conducts inspection tests by examining </w:t>
      </w:r>
      <w:r w:rsidR="009C4BBF" w:rsidRPr="000A7FD1">
        <w:t xml:space="preserve">an asset (either by being physically present or using remote observation tools) or examining records or </w:t>
      </w:r>
      <w:r w:rsidRPr="000A7FD1">
        <w:t>documents</w:t>
      </w:r>
      <w:r w:rsidR="009C4BBF" w:rsidRPr="000A7FD1">
        <w:t>, whether internal or external or in paper form, electronic form, or other media (AU-C 500.A51),</w:t>
      </w:r>
      <w:r w:rsidRPr="000A7FD1">
        <w:t xml:space="preserve"> for evidence (such as the existence of initials or signatures) that a control activity was applied. System documentation, such as operations manuals, flowcharts, and job descriptions, may provide evidence of control design but do not provide evidence that controls are </w:t>
      </w:r>
      <w:r w:rsidR="00E61E23" w:rsidRPr="000A7FD1">
        <w:t>implemented and operating effectively</w:t>
      </w:r>
      <w:r w:rsidRPr="000A7FD1">
        <w:t xml:space="preserve">. To use system documentation as part of the evidence of effective control activities, the auditor should obtain additional evidence on how the controls were applied. </w:t>
      </w:r>
    </w:p>
    <w:p w14:paraId="186545AE" w14:textId="37C90129" w:rsidR="00C80404" w:rsidRPr="000A7FD1" w:rsidRDefault="00C80404" w:rsidP="004A102E">
      <w:pPr>
        <w:pStyle w:val="FAM-Continuation1"/>
      </w:pPr>
      <w:r w:rsidRPr="000A7FD1">
        <w:t>Inspection is generally a reliable source of audit evidence</w:t>
      </w:r>
      <w:r w:rsidR="00207FEB" w:rsidRPr="000A7FD1">
        <w:t>, and b</w:t>
      </w:r>
      <w:r w:rsidRPr="000A7FD1">
        <w:t xml:space="preserve">ecause evidence of performance is documented, this type of test can be performed at any time. </w:t>
      </w:r>
      <w:r w:rsidR="00C30F93" w:rsidRPr="000A7FD1">
        <w:t>However, s</w:t>
      </w:r>
      <w:r w:rsidRPr="000A7FD1">
        <w:t>ince documentary evidence generally does not provide evidence concerning how effectively the control was applied, the auditor generally should supplement inspection tests with observation or inquiry of persons applying the control. For example, the auditor generally should supplement inspection of initials on documents with observation</w:t>
      </w:r>
      <w:r w:rsidR="005067B4" w:rsidRPr="000A7FD1">
        <w:t xml:space="preserve">, </w:t>
      </w:r>
      <w:r w:rsidRPr="000A7FD1">
        <w:t>inquiry</w:t>
      </w:r>
      <w:r w:rsidR="005067B4" w:rsidRPr="000A7FD1">
        <w:t>, or both</w:t>
      </w:r>
      <w:r w:rsidRPr="000A7FD1">
        <w:t xml:space="preserve"> of the individual(s) who initialed the documents to understand the procedures they followed before initialing the documents. The auditor may also reperform the control being tested to determine if it was properly applied.</w:t>
      </w:r>
    </w:p>
    <w:p w14:paraId="002EE7BA" w14:textId="3C91757C" w:rsidR="00C80404" w:rsidRPr="000A7FD1" w:rsidRDefault="00C80404" w:rsidP="004A102E">
      <w:pPr>
        <w:pStyle w:val="FAMSubsection"/>
      </w:pPr>
      <w:r w:rsidRPr="000A7FD1">
        <w:t>The auditor should select the type of control tests based on (1) the nature of the control to be tested and (2) the timing of the test and period covered by the control.</w:t>
      </w:r>
    </w:p>
    <w:p w14:paraId="0DE4DAFA" w14:textId="7E2CC599" w:rsidR="005A1854" w:rsidRPr="000A7FD1" w:rsidRDefault="00C80404" w:rsidP="005A1854">
      <w:pPr>
        <w:pStyle w:val="FAMSubsection"/>
      </w:pPr>
      <w:r w:rsidRPr="000A7FD1">
        <w:t xml:space="preserve">The </w:t>
      </w:r>
      <w:r w:rsidRPr="000A7FD1">
        <w:rPr>
          <w:b/>
        </w:rPr>
        <w:t>nature of the control</w:t>
      </w:r>
      <w:r w:rsidRPr="000A7FD1">
        <w:t xml:space="preserve"> influences the type of </w:t>
      </w:r>
      <w:r w:rsidR="00FF17BA" w:rsidRPr="000A7FD1">
        <w:t>evidence</w:t>
      </w:r>
      <w:r w:rsidRPr="000A7FD1">
        <w:t xml:space="preserve"> that is available. For example, if the control provides documentary evidence, the auditor may inspect the documentation. For other controls, documentation may not be available or </w:t>
      </w:r>
      <w:r w:rsidRPr="000A7FD1">
        <w:lastRenderedPageBreak/>
        <w:t xml:space="preserve">relevant. In these circumstances, the auditor may obtain </w:t>
      </w:r>
      <w:r w:rsidR="00FF17BA" w:rsidRPr="000A7FD1">
        <w:t>evidence</w:t>
      </w:r>
      <w:r w:rsidRPr="000A7FD1">
        <w:t xml:space="preserve"> about the effectiveness of the </w:t>
      </w:r>
      <w:r w:rsidR="00321043" w:rsidRPr="000A7FD1">
        <w:t xml:space="preserve">control’s </w:t>
      </w:r>
      <w:r w:rsidRPr="000A7FD1">
        <w:t xml:space="preserve">operation through </w:t>
      </w:r>
      <w:r w:rsidR="005A1854" w:rsidRPr="000A7FD1">
        <w:t>(1) direct obs</w:t>
      </w:r>
      <w:r w:rsidR="007626EB" w:rsidRPr="000A7FD1">
        <w:t xml:space="preserve">ervation of the control </w:t>
      </w:r>
      <w:r w:rsidR="005A1854" w:rsidRPr="000A7FD1">
        <w:t>being appl</w:t>
      </w:r>
      <w:r w:rsidR="0085676C" w:rsidRPr="000A7FD1">
        <w:t xml:space="preserve">ied during the audit period, </w:t>
      </w:r>
      <w:r w:rsidR="005A1854" w:rsidRPr="000A7FD1">
        <w:t xml:space="preserve">(2) inquiry of the individual(s) involved about applying the </w:t>
      </w:r>
      <w:r w:rsidR="00B35B0F" w:rsidRPr="000A7FD1">
        <w:t>control</w:t>
      </w:r>
      <w:r w:rsidR="005A1854" w:rsidRPr="000A7FD1">
        <w:t xml:space="preserve"> at other times during the audit period</w:t>
      </w:r>
      <w:r w:rsidR="0085676C" w:rsidRPr="000A7FD1">
        <w:t>, and (3) review of entity policies and procedures</w:t>
      </w:r>
      <w:r w:rsidR="005A1854" w:rsidRPr="000A7FD1">
        <w:t>.</w:t>
      </w:r>
    </w:p>
    <w:p w14:paraId="1B055AAB" w14:textId="6CB1FEF5" w:rsidR="00C80404" w:rsidRPr="000A7FD1" w:rsidDel="005505DD" w:rsidRDefault="00C80404" w:rsidP="007220CF">
      <w:pPr>
        <w:pStyle w:val="FAMSubsection"/>
      </w:pPr>
      <w:r w:rsidRPr="000A7FD1" w:rsidDel="005505DD">
        <w:t xml:space="preserve">The </w:t>
      </w:r>
      <w:r w:rsidRPr="000A7FD1" w:rsidDel="005505DD">
        <w:rPr>
          <w:b/>
        </w:rPr>
        <w:t>timing of the control test and the period covered</w:t>
      </w:r>
      <w:r w:rsidRPr="000A7FD1" w:rsidDel="005505DD">
        <w:t xml:space="preserve"> by the control influence the control test. The auditor should obtain </w:t>
      </w:r>
      <w:r w:rsidR="00FF17BA" w:rsidRPr="000A7FD1" w:rsidDel="005505DD">
        <w:t>evidence</w:t>
      </w:r>
      <w:r w:rsidRPr="000A7FD1" w:rsidDel="005505DD">
        <w:t xml:space="preserve"> relating to the audit period. Unless it is documentary evidence, the auditor generally should obtain the evidence during the audit period, when sufficient corroborative evidence is most likely to be available. When the evidence relates to only a specific point in time, such as evidence obtained from observation, the auditor should obtain additional evidence that the control </w:t>
      </w:r>
      <w:r w:rsidR="007626EB" w:rsidRPr="000A7FD1">
        <w:t xml:space="preserve">activity </w:t>
      </w:r>
      <w:r w:rsidRPr="000A7FD1" w:rsidDel="005505DD">
        <w:t>was effective during the entire audit period. For example, the auditor may observe the control in operation during the audit period and use inquiry and inspection of procedures manuals to determine that the control was in operation during the entire audit period. FAM 380.0</w:t>
      </w:r>
      <w:r w:rsidR="0061086C" w:rsidRPr="000A7FD1" w:rsidDel="005505DD">
        <w:t>1</w:t>
      </w:r>
      <w:r w:rsidRPr="000A7FD1" w:rsidDel="005505DD">
        <w:t xml:space="preserve"> provides guidance concerning situations when new controls are implemented during the year. If the auditor tests controls after the audit period, the auditor should determine if any changes occurred between the end of the audit period and the time of the test. See FAM 350.</w:t>
      </w:r>
      <w:r w:rsidR="00D5014C" w:rsidRPr="000A7FD1" w:rsidDel="005505DD">
        <w:t>2</w:t>
      </w:r>
      <w:r w:rsidR="00D5014C" w:rsidRPr="000A7FD1">
        <w:t>5 and .26</w:t>
      </w:r>
      <w:r w:rsidR="00D5014C" w:rsidRPr="000A7FD1" w:rsidDel="005505DD">
        <w:t xml:space="preserve"> </w:t>
      </w:r>
      <w:r w:rsidRPr="000A7FD1" w:rsidDel="005505DD">
        <w:t>for further discussion of interim testing of controls.</w:t>
      </w:r>
    </w:p>
    <w:p w14:paraId="219A7BCD" w14:textId="50495066" w:rsidR="00090850" w:rsidRPr="000A7FD1" w:rsidRDefault="00C80404" w:rsidP="005A1854">
      <w:pPr>
        <w:pStyle w:val="FAM-Subsection"/>
      </w:pPr>
      <w:r w:rsidRPr="000A7FD1">
        <w:t xml:space="preserve">When selecting a particular control test from among equally effective tests, the auditor should select the most efficient test. </w:t>
      </w:r>
      <w:r w:rsidR="00E65CDD" w:rsidRPr="000A7FD1">
        <w:t xml:space="preserve">When statistical sampling is considered necessary, the auditor should consider performing multipurpose testing to enhance audit efficiency (see FAM 430 and FAM 450). </w:t>
      </w:r>
    </w:p>
    <w:p w14:paraId="79F62584" w14:textId="77777777" w:rsidR="00C80404" w:rsidRPr="000A7FD1" w:rsidRDefault="00C80404" w:rsidP="00F363DF">
      <w:pPr>
        <w:pStyle w:val="StyleHeading3FAM"/>
      </w:pPr>
      <w:r w:rsidRPr="000A7FD1">
        <w:t>Determine the Extent of Control Tests</w:t>
      </w:r>
    </w:p>
    <w:p w14:paraId="53E6DC17" w14:textId="6A824381" w:rsidR="00813935" w:rsidRPr="000A7FD1" w:rsidRDefault="00813935" w:rsidP="00813935">
      <w:pPr>
        <w:pStyle w:val="FAM-Subsection"/>
      </w:pPr>
      <w:r w:rsidRPr="000A7FD1">
        <w:t xml:space="preserve">For each </w:t>
      </w:r>
      <w:r w:rsidR="005559EF" w:rsidRPr="000A7FD1">
        <w:t xml:space="preserve">relevant </w:t>
      </w:r>
      <w:r w:rsidRPr="000A7FD1">
        <w:t xml:space="preserve">control activity </w:t>
      </w:r>
      <w:r w:rsidR="005559EF" w:rsidRPr="000A7FD1">
        <w:t>that has been</w:t>
      </w:r>
      <w:r w:rsidR="00380314" w:rsidRPr="000A7FD1">
        <w:t xml:space="preserve"> implemented</w:t>
      </w:r>
      <w:r w:rsidRPr="000A7FD1">
        <w:t xml:space="preserve">, the auditor should test the control activity to determine whether it is operating effectively to achieve the control objectives. Relevant financial reporting, budget, compliance, and operations controls generally should be tested to the same level of assurance.  </w:t>
      </w:r>
    </w:p>
    <w:p w14:paraId="137E6AED" w14:textId="2264A4F3" w:rsidR="005067B4" w:rsidRPr="000A7FD1" w:rsidRDefault="00687ABF" w:rsidP="00687ABF">
      <w:pPr>
        <w:pStyle w:val="FAM-Subsection"/>
      </w:pPr>
      <w:r w:rsidRPr="000A7FD1">
        <w:t xml:space="preserve">After </w:t>
      </w:r>
      <w:r w:rsidR="00794D7B" w:rsidRPr="000A7FD1">
        <w:t xml:space="preserve">determining </w:t>
      </w:r>
      <w:r w:rsidRPr="000A7FD1">
        <w:t xml:space="preserve">the nature of control tests to be performed, the auditor should determine the extent of control tests (including IS controls). This determination is based on </w:t>
      </w:r>
      <w:r w:rsidR="005067B4" w:rsidRPr="000A7FD1">
        <w:t>the</w:t>
      </w:r>
    </w:p>
    <w:p w14:paraId="74505176" w14:textId="0450D989" w:rsidR="005067B4" w:rsidRPr="000A7FD1" w:rsidRDefault="00687ABF" w:rsidP="000D1813">
      <w:pPr>
        <w:pStyle w:val="FAM-Subsection"/>
        <w:numPr>
          <w:ilvl w:val="0"/>
          <w:numId w:val="36"/>
        </w:numPr>
        <w:ind w:left="1800"/>
      </w:pPr>
      <w:r w:rsidRPr="000A7FD1">
        <w:t xml:space="preserve">information gathered in developing an understanding of internal control (including the nature of the control, the nature and availability of evidence, and </w:t>
      </w:r>
      <w:r w:rsidR="007626EB" w:rsidRPr="000A7FD1">
        <w:t xml:space="preserve">how </w:t>
      </w:r>
      <w:r w:rsidR="002D6E7D" w:rsidRPr="000A7FD1">
        <w:t>frequently</w:t>
      </w:r>
      <w:r w:rsidR="007626EB" w:rsidRPr="000A7FD1">
        <w:t xml:space="preserve"> the </w:t>
      </w:r>
      <w:r w:rsidRPr="000A7FD1">
        <w:t xml:space="preserve">control </w:t>
      </w:r>
      <w:r w:rsidR="007626EB" w:rsidRPr="000A7FD1">
        <w:t>is performed</w:t>
      </w:r>
      <w:r w:rsidRPr="000A7FD1">
        <w:t xml:space="preserve">), </w:t>
      </w:r>
    </w:p>
    <w:p w14:paraId="51A49B6D" w14:textId="62AFB398" w:rsidR="005067B4" w:rsidRPr="000A7FD1" w:rsidRDefault="00687ABF" w:rsidP="000D1813">
      <w:pPr>
        <w:pStyle w:val="FAM-Subsection"/>
        <w:numPr>
          <w:ilvl w:val="0"/>
          <w:numId w:val="36"/>
        </w:numPr>
        <w:ind w:left="1800"/>
      </w:pPr>
      <w:r w:rsidRPr="000A7FD1">
        <w:t xml:space="preserve">extent to which audit evidence is obtained from tests of other controls, and </w:t>
      </w:r>
    </w:p>
    <w:p w14:paraId="7E4F06F5" w14:textId="06F03D11" w:rsidR="005067B4" w:rsidRPr="000A7FD1" w:rsidRDefault="00687ABF" w:rsidP="000D1813">
      <w:pPr>
        <w:pStyle w:val="FAM-Subsection"/>
        <w:numPr>
          <w:ilvl w:val="0"/>
          <w:numId w:val="36"/>
        </w:numPr>
        <w:ind w:left="1800"/>
      </w:pPr>
      <w:r w:rsidRPr="000A7FD1">
        <w:t xml:space="preserve">auditor’s determination of the amount of additional evidence needed. </w:t>
      </w:r>
    </w:p>
    <w:p w14:paraId="416D3895" w14:textId="6C73A341" w:rsidR="00687ABF" w:rsidRPr="000A7FD1" w:rsidRDefault="00687ABF" w:rsidP="005067B4">
      <w:pPr>
        <w:pStyle w:val="FAM-Subsection"/>
        <w:numPr>
          <w:ilvl w:val="0"/>
          <w:numId w:val="0"/>
        </w:numPr>
        <w:ind w:left="1440"/>
      </w:pPr>
      <w:r w:rsidRPr="000A7FD1">
        <w:t xml:space="preserve">As the planned level of assurance increases, the auditor should seek more reliable or more extensive audit evidence. </w:t>
      </w:r>
      <w:r w:rsidR="00E65CDD" w:rsidRPr="000A7FD1">
        <w:t>The extent of testing is also discussed in FAM 360 and FAM 450.</w:t>
      </w:r>
    </w:p>
    <w:p w14:paraId="1DCAED00" w14:textId="05DDC120" w:rsidR="006D735C" w:rsidRPr="000A7FD1" w:rsidRDefault="00F421FB" w:rsidP="006D735C">
      <w:pPr>
        <w:pStyle w:val="FAM-Subsection"/>
      </w:pPr>
      <w:r w:rsidRPr="000A7FD1">
        <w:t>As discussed in FAM 350.</w:t>
      </w:r>
      <w:r w:rsidR="00D5014C" w:rsidRPr="000A7FD1">
        <w:t>1</w:t>
      </w:r>
      <w:r w:rsidR="00C40ED5" w:rsidRPr="000A7FD1">
        <w:t>8</w:t>
      </w:r>
      <w:r w:rsidR="005A1854" w:rsidRPr="000A7FD1">
        <w:t>, for c</w:t>
      </w:r>
      <w:r w:rsidR="00C80404" w:rsidRPr="000A7FD1">
        <w:t xml:space="preserve">ontrols that do not leave documentary evidence of existence or application, the auditor </w:t>
      </w:r>
      <w:r w:rsidR="00F173B3" w:rsidRPr="000A7FD1">
        <w:t xml:space="preserve">may </w:t>
      </w:r>
      <w:r w:rsidR="00C80404" w:rsidRPr="000A7FD1">
        <w:t>test their effectiveness by observation</w:t>
      </w:r>
      <w:r w:rsidR="005067B4" w:rsidRPr="000A7FD1">
        <w:t xml:space="preserve">, </w:t>
      </w:r>
      <w:r w:rsidR="00C80404" w:rsidRPr="000A7FD1">
        <w:t>inquiry</w:t>
      </w:r>
      <w:r w:rsidR="005067B4" w:rsidRPr="000A7FD1">
        <w:t>, or both</w:t>
      </w:r>
      <w:r w:rsidR="00C80404" w:rsidRPr="000A7FD1">
        <w:t xml:space="preserve">. </w:t>
      </w:r>
      <w:r w:rsidR="005A1854" w:rsidRPr="000A7FD1">
        <w:t>However, t</w:t>
      </w:r>
      <w:r w:rsidR="00C80404" w:rsidRPr="000A7FD1">
        <w:t>he appropriate extent of observation and inquiry is not readily quantifiable</w:t>
      </w:r>
      <w:r w:rsidR="00AA1F9B" w:rsidRPr="000A7FD1">
        <w:t xml:space="preserve"> and is therefore a matter of</w:t>
      </w:r>
      <w:r w:rsidR="004B20AD" w:rsidRPr="000A7FD1">
        <w:t xml:space="preserve"> the</w:t>
      </w:r>
      <w:r w:rsidR="00AA1F9B" w:rsidRPr="000A7FD1">
        <w:t xml:space="preserve"> auditor’s judgment</w:t>
      </w:r>
      <w:r w:rsidR="00C80404" w:rsidRPr="000A7FD1">
        <w:t xml:space="preserve">. </w:t>
      </w:r>
    </w:p>
    <w:p w14:paraId="6FE12D72" w14:textId="2746AE4F" w:rsidR="006D735C" w:rsidRPr="000A7FD1" w:rsidRDefault="006D735C" w:rsidP="006D735C">
      <w:pPr>
        <w:pStyle w:val="FAM-Subsection"/>
      </w:pPr>
      <w:r w:rsidRPr="000A7FD1">
        <w:lastRenderedPageBreak/>
        <w:t>Testing the operating effectiveness of control</w:t>
      </w:r>
      <w:r w:rsidR="001E108A" w:rsidRPr="000A7FD1">
        <w:t>s</w:t>
      </w:r>
      <w:r w:rsidR="001C20B8" w:rsidRPr="000A7FD1">
        <w:t xml:space="preserve"> </w:t>
      </w:r>
      <w:r w:rsidRPr="000A7FD1">
        <w:t>is different from obtaining an understanding of and evaluating the design and implementation of control</w:t>
      </w:r>
      <w:r w:rsidR="001E108A" w:rsidRPr="000A7FD1">
        <w:t>s</w:t>
      </w:r>
      <w:r w:rsidRPr="000A7FD1">
        <w:t>. However, the same types of audit procedures are used. The auditor may therefore decide it is efficient to test the operating effectiveness of control</w:t>
      </w:r>
      <w:r w:rsidR="001E108A" w:rsidRPr="000A7FD1">
        <w:t>s</w:t>
      </w:r>
      <w:r w:rsidR="001C20B8" w:rsidRPr="000A7FD1">
        <w:t xml:space="preserve"> </w:t>
      </w:r>
      <w:r w:rsidRPr="000A7FD1">
        <w:t xml:space="preserve">at the same time the auditor is evaluating their design and </w:t>
      </w:r>
      <w:r w:rsidR="001C20B8" w:rsidRPr="000A7FD1">
        <w:t>implementation</w:t>
      </w:r>
      <w:r w:rsidRPr="000A7FD1">
        <w:t xml:space="preserve"> (AU-C 330.A22), such as while performing walk</w:t>
      </w:r>
      <w:r w:rsidR="00760CC6" w:rsidRPr="000A7FD1">
        <w:t>-</w:t>
      </w:r>
      <w:r w:rsidRPr="000A7FD1">
        <w:t>throughs as discussed in FAM 320.02 and 350.</w:t>
      </w:r>
      <w:r w:rsidR="00523B8C" w:rsidRPr="000A7FD1">
        <w:t>0</w:t>
      </w:r>
      <w:r w:rsidR="00795535" w:rsidRPr="000A7FD1">
        <w:t>8</w:t>
      </w:r>
      <w:r w:rsidRPr="000A7FD1">
        <w:t xml:space="preserve">. </w:t>
      </w:r>
    </w:p>
    <w:p w14:paraId="12134350" w14:textId="67F02BAF" w:rsidR="00C80404" w:rsidRPr="000A7FD1" w:rsidRDefault="006D735C" w:rsidP="00CD3B6B">
      <w:pPr>
        <w:pStyle w:val="FAM-Subsection"/>
        <w:numPr>
          <w:ilvl w:val="0"/>
          <w:numId w:val="0"/>
        </w:numPr>
        <w:ind w:left="1440"/>
      </w:pPr>
      <w:r w:rsidRPr="000A7FD1">
        <w:t>Further, although some risk assessment procedures may not have been specifically designed as tests of controls, they may nevertheless provide audit evidence about the operating effectiveness of the control</w:t>
      </w:r>
      <w:r w:rsidR="001E108A" w:rsidRPr="000A7FD1">
        <w:t>s</w:t>
      </w:r>
      <w:r w:rsidRPr="000A7FD1">
        <w:t xml:space="preserve"> and consequently serve as tests of control</w:t>
      </w:r>
      <w:r w:rsidR="002374AE" w:rsidRPr="000A7FD1">
        <w:t>s</w:t>
      </w:r>
      <w:r w:rsidRPr="000A7FD1">
        <w:t xml:space="preserve">. For example, the auditor’s risk assessment procedures may have included inquiries about management’s use of budgets, observing management’s comparison of monthly budgeted and actual expenses, and inspecting reports pertaining to the investigation of variances between budgeted and actual amounts (AU-C 330.A23). </w:t>
      </w:r>
    </w:p>
    <w:p w14:paraId="080A10C2" w14:textId="4BFDA30D" w:rsidR="00C80404" w:rsidRPr="000A7FD1" w:rsidRDefault="00C80404" w:rsidP="00F363DF">
      <w:pPr>
        <w:pStyle w:val="StyleHeading3FAM"/>
      </w:pPr>
      <w:r w:rsidRPr="000A7FD1">
        <w:t>Determine the Timing of Control Tests</w:t>
      </w:r>
    </w:p>
    <w:p w14:paraId="7EDB05BA" w14:textId="4760B961" w:rsidR="000532B9" w:rsidRPr="000A7FD1" w:rsidRDefault="00C80404" w:rsidP="000532B9">
      <w:pPr>
        <w:pStyle w:val="FAMSubsection"/>
      </w:pPr>
      <w:r w:rsidRPr="000A7FD1">
        <w:t xml:space="preserve">The auditor should determine when to perform control tests. For efficiency, the auditor may perform most control testing on an interim basis that covers 9 or 10 months of the audit period and perform a </w:t>
      </w:r>
      <w:r w:rsidR="00E67924" w:rsidRPr="000A7FD1">
        <w:t>roll-</w:t>
      </w:r>
      <w:r w:rsidRPr="000A7FD1">
        <w:t xml:space="preserve">forward and limited testing for the remaining audit period. The auditor should obtain evidence about significant changes to those controls subsequent to the interim period </w:t>
      </w:r>
      <w:r w:rsidR="003E0F3A" w:rsidRPr="000A7FD1">
        <w:t xml:space="preserve">and determine the additional audit evidence to be obtained for the remaining period </w:t>
      </w:r>
      <w:r w:rsidRPr="000A7FD1">
        <w:t>(AU-C 3</w:t>
      </w:r>
      <w:r w:rsidR="00564494" w:rsidRPr="000A7FD1">
        <w:t>3</w:t>
      </w:r>
      <w:r w:rsidRPr="000A7FD1">
        <w:t xml:space="preserve">0.12). </w:t>
      </w:r>
      <w:r w:rsidR="006149BD" w:rsidRPr="000A7FD1">
        <w:t>If the auditor is providing an opinion on internal con</w:t>
      </w:r>
      <w:r w:rsidR="000C00AD" w:rsidRPr="000A7FD1">
        <w:t>t</w:t>
      </w:r>
      <w:r w:rsidR="006149BD" w:rsidRPr="000A7FD1">
        <w:t xml:space="preserve">rol, </w:t>
      </w:r>
      <w:r w:rsidR="000C00AD" w:rsidRPr="000A7FD1">
        <w:t xml:space="preserve">the auditor should determine </w:t>
      </w:r>
      <w:r w:rsidR="004325F7" w:rsidRPr="000A7FD1">
        <w:t xml:space="preserve">the </w:t>
      </w:r>
      <w:r w:rsidR="000C00AD" w:rsidRPr="000A7FD1">
        <w:t xml:space="preserve">additional evidence </w:t>
      </w:r>
      <w:r w:rsidR="004325F7" w:rsidRPr="000A7FD1">
        <w:t xml:space="preserve">needed </w:t>
      </w:r>
      <w:r w:rsidR="000C00AD" w:rsidRPr="000A7FD1">
        <w:t xml:space="preserve">concerning the operation of the controls </w:t>
      </w:r>
      <w:r w:rsidR="00064D60" w:rsidRPr="000A7FD1">
        <w:t xml:space="preserve">as of the end of the year </w:t>
      </w:r>
      <w:r w:rsidR="000C00AD" w:rsidRPr="000A7FD1">
        <w:t xml:space="preserve">(see FAM 495 C for additional guidance). </w:t>
      </w:r>
      <w:r w:rsidR="000532B9" w:rsidRPr="000A7FD1">
        <w:t xml:space="preserve"> </w:t>
      </w:r>
    </w:p>
    <w:p w14:paraId="05319AE7" w14:textId="3377ABFA" w:rsidR="00C80404" w:rsidRPr="000A7FD1" w:rsidRDefault="00C80404" w:rsidP="004A102E">
      <w:pPr>
        <w:pStyle w:val="FAMSubsection"/>
      </w:pPr>
      <w:r w:rsidRPr="000A7FD1">
        <w:t>Another approach is for the auditor to determine the actual population of transactions for the audit period through an interim date and estimate the transactions for the remaining audit period. A statistical sample can then be drawn that covers the entire audit period</w:t>
      </w:r>
      <w:r w:rsidR="0011115D" w:rsidRPr="000A7FD1">
        <w:t>,</w:t>
      </w:r>
      <w:r w:rsidRPr="000A7FD1">
        <w:t xml:space="preserve"> with the bulk of testing completed during the interim period and the remaining items tested immediately after year-end. The auditor generally should overestimate the remaining items in the population so every item will have a chance of selection. An underestimate by the auditor would leave some items out</w:t>
      </w:r>
      <w:r w:rsidR="00160F86" w:rsidRPr="000A7FD1">
        <w:t xml:space="preserve"> of</w:t>
      </w:r>
      <w:r w:rsidRPr="000A7FD1">
        <w:t xml:space="preserve"> the population subject to audit sampling, although they may be tested in other ways.</w:t>
      </w:r>
    </w:p>
    <w:p w14:paraId="18ABBA3D" w14:textId="6305A813" w:rsidR="00C80404" w:rsidRPr="000A7FD1" w:rsidRDefault="00C80404" w:rsidP="00F363DF">
      <w:pPr>
        <w:pStyle w:val="StyleHeading3FAM"/>
      </w:pPr>
      <w:r w:rsidRPr="000A7FD1">
        <w:t xml:space="preserve">Determine the Nature, Extent, and Timing </w:t>
      </w:r>
      <w:r w:rsidR="004F4607" w:rsidRPr="000A7FD1">
        <w:t xml:space="preserve">of Tests of </w:t>
      </w:r>
      <w:r w:rsidRPr="000A7FD1">
        <w:t>Compliance with FFMIA</w:t>
      </w:r>
    </w:p>
    <w:p w14:paraId="33F42741" w14:textId="59F06194" w:rsidR="004042A4" w:rsidRPr="000A7FD1" w:rsidRDefault="004042A4" w:rsidP="004042A4">
      <w:pPr>
        <w:pStyle w:val="FAMSubsection"/>
      </w:pPr>
      <w:r w:rsidRPr="000A7FD1">
        <w:rPr>
          <w:szCs w:val="22"/>
        </w:rPr>
        <w:t xml:space="preserve">For CFO Act agencies, </w:t>
      </w:r>
      <w:r w:rsidR="003342D2" w:rsidRPr="000A7FD1">
        <w:rPr>
          <w:szCs w:val="22"/>
        </w:rPr>
        <w:t xml:space="preserve">which are subject to FFMIA, </w:t>
      </w:r>
      <w:r w:rsidR="003342D2" w:rsidRPr="000A7FD1">
        <w:t xml:space="preserve">the auditor </w:t>
      </w:r>
      <w:r w:rsidR="003342D2" w:rsidRPr="000A7FD1">
        <w:rPr>
          <w:szCs w:val="22"/>
        </w:rPr>
        <w:t>determines whether agency financial management systems comply substantially with the three FFMIA requirements.</w:t>
      </w:r>
      <w:r w:rsidR="006D63EE" w:rsidRPr="000A7FD1">
        <w:t xml:space="preserve"> </w:t>
      </w:r>
      <w:r w:rsidR="00B001F6" w:rsidRPr="000A7FD1">
        <w:rPr>
          <w:szCs w:val="22"/>
        </w:rPr>
        <w:t>The auditor should plan and perform audit work in sufficient detail to enable the auditor to determine the degree to which agency financial management systems comply with the</w:t>
      </w:r>
      <w:r w:rsidR="002849E4" w:rsidRPr="000A7FD1">
        <w:rPr>
          <w:szCs w:val="22"/>
        </w:rPr>
        <w:t xml:space="preserve"> FFMIA</w:t>
      </w:r>
      <w:r w:rsidR="00B001F6" w:rsidRPr="000A7FD1">
        <w:rPr>
          <w:szCs w:val="22"/>
        </w:rPr>
        <w:t xml:space="preserve"> requirements and whether that degree of compliance is substantial. </w:t>
      </w:r>
      <w:r w:rsidR="00B001F6" w:rsidRPr="000A7FD1">
        <w:t xml:space="preserve">See FAM 701 for further guidance on determining substantial compliance with FFMIA. </w:t>
      </w:r>
      <w:r w:rsidR="0012438C" w:rsidRPr="000A7FD1">
        <w:t xml:space="preserve"> </w:t>
      </w:r>
    </w:p>
    <w:p w14:paraId="3892A588" w14:textId="7330FF0B" w:rsidR="004042A4" w:rsidRPr="000A7FD1" w:rsidRDefault="004042A4" w:rsidP="004042A4">
      <w:pPr>
        <w:pStyle w:val="FAMSubsection"/>
      </w:pPr>
      <w:r w:rsidRPr="000A7FD1">
        <w:t xml:space="preserve">Because of the overlapping scope and nature of FFMIA assessments and financial statement audits, the auditor may use the work performed as part of the financial statement audit in determining substantial compliance with FFMIA. </w:t>
      </w:r>
      <w:r w:rsidRPr="000A7FD1">
        <w:lastRenderedPageBreak/>
        <w:t xml:space="preserve">Specifically, many control and substantive tests performed in a financial statement audit may also </w:t>
      </w:r>
      <w:r w:rsidR="00311DF0" w:rsidRPr="000A7FD1">
        <w:t xml:space="preserve">provide evidence regarding </w:t>
      </w:r>
      <w:r w:rsidRPr="000A7FD1">
        <w:t>compliance with FFMIA and generally should be performed concurrently (multipurpose testing).</w:t>
      </w:r>
    </w:p>
    <w:p w14:paraId="5580B9AC" w14:textId="7050C09E" w:rsidR="004042A4" w:rsidRPr="000A7FD1" w:rsidRDefault="00950652" w:rsidP="004042A4">
      <w:pPr>
        <w:pStyle w:val="FAM-Subsection"/>
      </w:pPr>
      <w:r w:rsidRPr="000A7FD1">
        <w:t xml:space="preserve">The auditor may limit the scope of work performed to support the FFMIA assessment </w:t>
      </w:r>
      <w:r w:rsidR="00A51F3A" w:rsidRPr="000A7FD1">
        <w:t xml:space="preserve">with respect to those requirements for which </w:t>
      </w:r>
      <w:r w:rsidR="001D509C" w:rsidRPr="000A7FD1">
        <w:t>there is sufficient evidence that the systems do not comply substantially with</w:t>
      </w:r>
      <w:r w:rsidR="00591B4F" w:rsidRPr="000A7FD1">
        <w:t xml:space="preserve"> </w:t>
      </w:r>
      <w:r w:rsidR="001D509C" w:rsidRPr="000A7FD1">
        <w:t>FFMIA (e.g.</w:t>
      </w:r>
      <w:r w:rsidR="00133753" w:rsidRPr="000A7FD1">
        <w:t>,</w:t>
      </w:r>
      <w:r w:rsidR="001D509C" w:rsidRPr="000A7FD1">
        <w:t xml:space="preserve"> continuation of previously reported lack of substantial compliance with FFMIA)</w:t>
      </w:r>
      <w:r w:rsidR="004042A4" w:rsidRPr="000A7FD1">
        <w:t xml:space="preserve">. </w:t>
      </w:r>
    </w:p>
    <w:p w14:paraId="465FDED7" w14:textId="2F4AB1A4" w:rsidR="004042A4" w:rsidRPr="000A7FD1" w:rsidRDefault="00AB7196" w:rsidP="004042A4">
      <w:pPr>
        <w:pStyle w:val="FAM-Subsection"/>
      </w:pPr>
      <w:r w:rsidRPr="000A7FD1">
        <w:t xml:space="preserve">When limiting the scope of work performed, the auditor may obtain sufficient information to describe instances of </w:t>
      </w:r>
      <w:r w:rsidR="00205DD7" w:rsidRPr="000A7FD1">
        <w:t xml:space="preserve">lack of </w:t>
      </w:r>
      <w:r w:rsidRPr="000A7FD1">
        <w:t>substantial compliance and make recommendations</w:t>
      </w:r>
      <w:r w:rsidR="00944689" w:rsidRPr="000A7FD1">
        <w:t xml:space="preserve"> of remedial actions</w:t>
      </w:r>
      <w:r w:rsidRPr="000A7FD1">
        <w:t>, as required by FFMIA</w:t>
      </w:r>
      <w:r w:rsidR="00205DD7" w:rsidRPr="000A7FD1">
        <w:t>,</w:t>
      </w:r>
      <w:r w:rsidRPr="000A7FD1">
        <w:t xml:space="preserve"> b</w:t>
      </w:r>
      <w:r w:rsidR="004042A4" w:rsidRPr="000A7FD1">
        <w:t>y (1) gaining an understanding of the design of the systems and controls, (</w:t>
      </w:r>
      <w:r w:rsidR="00CC37D6" w:rsidRPr="000A7FD1">
        <w:t>2</w:t>
      </w:r>
      <w:r w:rsidR="004042A4" w:rsidRPr="000A7FD1">
        <w:t>) performing control and substantive testing as part of the financial statement audit, and (</w:t>
      </w:r>
      <w:r w:rsidR="00CC37D6" w:rsidRPr="000A7FD1">
        <w:t>3</w:t>
      </w:r>
      <w:r w:rsidR="004042A4" w:rsidRPr="000A7FD1">
        <w:t xml:space="preserve">) reading management-developed documentation about systems’ compliance with FFMIA. However, if the auditor is concerned that it may be difficult to convince management of the systems’ </w:t>
      </w:r>
      <w:r w:rsidR="00BD7AF9" w:rsidRPr="000A7FD1">
        <w:t xml:space="preserve">lack of </w:t>
      </w:r>
      <w:r w:rsidR="000777DB" w:rsidRPr="000A7FD1">
        <w:t xml:space="preserve">substantial </w:t>
      </w:r>
      <w:r w:rsidR="004042A4" w:rsidRPr="000A7FD1">
        <w:t xml:space="preserve">compliance without specific tests, the auditor generally should perform the testing needed for this purpose. </w:t>
      </w:r>
    </w:p>
    <w:p w14:paraId="6EFA07F8" w14:textId="78095850" w:rsidR="004042A4" w:rsidRPr="000A7FD1" w:rsidRDefault="0012438C" w:rsidP="000777DB">
      <w:pPr>
        <w:pStyle w:val="FAM-Subsection"/>
        <w:numPr>
          <w:ilvl w:val="0"/>
          <w:numId w:val="0"/>
        </w:numPr>
        <w:ind w:left="1440"/>
      </w:pPr>
      <w:r w:rsidRPr="000A7FD1">
        <w:t xml:space="preserve">    </w:t>
      </w:r>
      <w:r w:rsidR="004042A4" w:rsidRPr="000A7FD1">
        <w:t xml:space="preserve"> </w:t>
      </w:r>
    </w:p>
    <w:p w14:paraId="401A9C3D" w14:textId="0D06414B" w:rsidR="00C80404" w:rsidRPr="000A7FD1" w:rsidRDefault="00C80404" w:rsidP="00383E05">
      <w:pPr>
        <w:pStyle w:val="FAM-Continuation1"/>
        <w:ind w:left="0"/>
        <w:sectPr w:rsidR="00C80404" w:rsidRPr="000A7FD1" w:rsidSect="00666BFE">
          <w:headerReference w:type="default" r:id="rId35"/>
          <w:footerReference w:type="default" r:id="rId36"/>
          <w:endnotePr>
            <w:numFmt w:val="decimal"/>
          </w:endnotePr>
          <w:pgSz w:w="12240" w:h="15840"/>
          <w:pgMar w:top="1080" w:right="1440" w:bottom="1080" w:left="1080" w:header="720" w:footer="720" w:gutter="360"/>
          <w:pgNumType w:start="1"/>
          <w:cols w:space="720"/>
          <w:noEndnote/>
          <w:docGrid w:linePitch="326"/>
        </w:sectPr>
      </w:pPr>
    </w:p>
    <w:p w14:paraId="57E895D8" w14:textId="47FBFE4D" w:rsidR="00C80404" w:rsidRPr="000A7FD1" w:rsidRDefault="00C80404" w:rsidP="00ED7CF3">
      <w:pPr>
        <w:pStyle w:val="Heading2FAM"/>
      </w:pPr>
      <w:r w:rsidRPr="000A7FD1">
        <w:lastRenderedPageBreak/>
        <w:t xml:space="preserve">360 </w:t>
      </w:r>
      <w:r w:rsidR="004C25AA" w:rsidRPr="000A7FD1">
        <w:t>–</w:t>
      </w:r>
      <w:r w:rsidR="00165A2F" w:rsidRPr="000A7FD1">
        <w:t xml:space="preserve"> </w:t>
      </w:r>
      <w:r w:rsidR="0076798B" w:rsidRPr="000A7FD1">
        <w:t xml:space="preserve">Perform </w:t>
      </w:r>
      <w:r w:rsidR="00B912DF" w:rsidRPr="000A7FD1">
        <w:t>Test</w:t>
      </w:r>
      <w:r w:rsidR="0076798B" w:rsidRPr="000A7FD1">
        <w:t>s of</w:t>
      </w:r>
      <w:r w:rsidR="00B912DF" w:rsidRPr="000A7FD1">
        <w:t xml:space="preserve"> Controls</w:t>
      </w:r>
      <w:r w:rsidR="004507D8" w:rsidRPr="000A7FD1">
        <w:t xml:space="preserve"> </w:t>
      </w:r>
      <w:r w:rsidRPr="000A7FD1">
        <w:t>and Compliance with FFMIA</w:t>
      </w:r>
    </w:p>
    <w:p w14:paraId="3E45B90E" w14:textId="5CEFD403" w:rsidR="005A0707" w:rsidRPr="000A7FD1" w:rsidRDefault="00254A07" w:rsidP="00ED7CF3">
      <w:pPr>
        <w:pStyle w:val="FAM-Subsection"/>
        <w:numPr>
          <w:ilvl w:val="0"/>
          <w:numId w:val="28"/>
        </w:numPr>
      </w:pPr>
      <w:r w:rsidRPr="000A7FD1">
        <w:t>T</w:t>
      </w:r>
      <w:r w:rsidR="00C80404" w:rsidRPr="000A7FD1">
        <w:t xml:space="preserve">he auditor should </w:t>
      </w:r>
      <w:r w:rsidR="007A4482" w:rsidRPr="000A7FD1">
        <w:t>test the</w:t>
      </w:r>
      <w:r w:rsidR="00AD0816" w:rsidRPr="000A7FD1">
        <w:t xml:space="preserve"> operating effectiveness </w:t>
      </w:r>
      <w:r w:rsidR="009E414A" w:rsidRPr="000A7FD1">
        <w:t xml:space="preserve">of </w:t>
      </w:r>
      <w:r w:rsidR="008719AE" w:rsidRPr="000A7FD1">
        <w:t xml:space="preserve">relevant </w:t>
      </w:r>
      <w:r w:rsidR="00AD0816" w:rsidRPr="000A7FD1">
        <w:t>control</w:t>
      </w:r>
      <w:r w:rsidR="007A4482" w:rsidRPr="000A7FD1">
        <w:t xml:space="preserve"> activities</w:t>
      </w:r>
      <w:r w:rsidR="00AD0816" w:rsidRPr="000A7FD1">
        <w:t xml:space="preserve"> that </w:t>
      </w:r>
      <w:r w:rsidR="008719AE" w:rsidRPr="000A7FD1">
        <w:t>have been</w:t>
      </w:r>
      <w:r w:rsidR="00C80404" w:rsidRPr="000A7FD1">
        <w:t xml:space="preserve"> implemented</w:t>
      </w:r>
      <w:r w:rsidR="00720956" w:rsidRPr="000A7FD1">
        <w:t xml:space="preserve"> </w:t>
      </w:r>
      <w:r w:rsidR="00C80404" w:rsidRPr="000A7FD1">
        <w:t>(</w:t>
      </w:r>
      <w:r w:rsidR="005A0707" w:rsidRPr="000A7FD1">
        <w:t>FAM 360.0</w:t>
      </w:r>
      <w:r w:rsidR="00684FA5" w:rsidRPr="000A7FD1">
        <w:t>6</w:t>
      </w:r>
      <w:r w:rsidR="00BB5064" w:rsidRPr="000A7FD1">
        <w:t>–</w:t>
      </w:r>
      <w:r w:rsidR="005A0707" w:rsidRPr="000A7FD1">
        <w:t>.</w:t>
      </w:r>
      <w:r w:rsidR="00684FA5" w:rsidRPr="000A7FD1">
        <w:t>18</w:t>
      </w:r>
      <w:r w:rsidR="00C80404" w:rsidRPr="000A7FD1">
        <w:t>)</w:t>
      </w:r>
      <w:r w:rsidR="00EB11F8" w:rsidRPr="000A7FD1">
        <w:t>.</w:t>
      </w:r>
      <w:r w:rsidR="00C80404" w:rsidRPr="000A7FD1">
        <w:t xml:space="preserve"> </w:t>
      </w:r>
      <w:r w:rsidR="004542A2" w:rsidRPr="000A7FD1">
        <w:t>As part of testin</w:t>
      </w:r>
      <w:r w:rsidR="005A0707" w:rsidRPr="000A7FD1">
        <w:t>g control</w:t>
      </w:r>
      <w:r w:rsidR="009019B6" w:rsidRPr="000A7FD1">
        <w:t xml:space="preserve"> activities</w:t>
      </w:r>
      <w:r w:rsidR="004542A2" w:rsidRPr="000A7FD1">
        <w:t xml:space="preserve">, the auditor should </w:t>
      </w:r>
      <w:r w:rsidR="007E3B26" w:rsidRPr="000A7FD1">
        <w:t xml:space="preserve">also </w:t>
      </w:r>
      <w:r w:rsidR="004542A2" w:rsidRPr="000A7FD1">
        <w:t xml:space="preserve">test </w:t>
      </w:r>
      <w:r w:rsidR="004240EA" w:rsidRPr="000A7FD1">
        <w:t>segregation-of-duties</w:t>
      </w:r>
      <w:r w:rsidR="004542A2" w:rsidRPr="000A7FD1">
        <w:t xml:space="preserve"> </w:t>
      </w:r>
      <w:r w:rsidR="004240EA" w:rsidRPr="000A7FD1">
        <w:t>(FAM 360.</w:t>
      </w:r>
      <w:r w:rsidR="00FB3FD0" w:rsidRPr="000A7FD1">
        <w:t>09</w:t>
      </w:r>
      <w:r w:rsidR="00BB5064" w:rsidRPr="000A7FD1">
        <w:t>–</w:t>
      </w:r>
      <w:r w:rsidR="00617918" w:rsidRPr="000A7FD1">
        <w:t>.1</w:t>
      </w:r>
      <w:r w:rsidR="00FB3FD0" w:rsidRPr="000A7FD1">
        <w:t>0</w:t>
      </w:r>
      <w:r w:rsidR="004240EA" w:rsidRPr="000A7FD1">
        <w:t xml:space="preserve">) </w:t>
      </w:r>
      <w:r w:rsidR="004542A2" w:rsidRPr="000A7FD1">
        <w:t xml:space="preserve">and IS </w:t>
      </w:r>
      <w:r w:rsidR="004240EA" w:rsidRPr="000A7FD1">
        <w:t>controls (</w:t>
      </w:r>
      <w:r w:rsidR="007E3B26" w:rsidRPr="000A7FD1">
        <w:t xml:space="preserve">FAM </w:t>
      </w:r>
      <w:r w:rsidR="00617918" w:rsidRPr="000A7FD1">
        <w:t>360.1</w:t>
      </w:r>
      <w:r w:rsidR="00FB3FD0" w:rsidRPr="000A7FD1">
        <w:t>1</w:t>
      </w:r>
      <w:r w:rsidR="00BB5064" w:rsidRPr="000A7FD1">
        <w:t>–</w:t>
      </w:r>
      <w:r w:rsidR="00617918" w:rsidRPr="000A7FD1">
        <w:t>.1</w:t>
      </w:r>
      <w:r w:rsidR="00684FA5" w:rsidRPr="000A7FD1">
        <w:t>8</w:t>
      </w:r>
      <w:r w:rsidR="004240EA" w:rsidRPr="000A7FD1">
        <w:t>)</w:t>
      </w:r>
      <w:r w:rsidR="004542A2" w:rsidRPr="000A7FD1">
        <w:t xml:space="preserve">. </w:t>
      </w:r>
    </w:p>
    <w:p w14:paraId="10C95677" w14:textId="2BC04D56" w:rsidR="00C80404" w:rsidRPr="000A7FD1" w:rsidRDefault="005A0707" w:rsidP="00CC7A2D">
      <w:pPr>
        <w:pStyle w:val="FAM-Subsection"/>
        <w:numPr>
          <w:ilvl w:val="0"/>
          <w:numId w:val="28"/>
        </w:numPr>
      </w:pPr>
      <w:r w:rsidRPr="000A7FD1">
        <w:t xml:space="preserve">The auditor should test </w:t>
      </w:r>
      <w:r w:rsidR="00FD697D" w:rsidRPr="000A7FD1">
        <w:t>the operating effective</w:t>
      </w:r>
      <w:r w:rsidR="00684FA5" w:rsidRPr="000A7FD1">
        <w:t>nes</w:t>
      </w:r>
      <w:r w:rsidR="00FD697D" w:rsidRPr="000A7FD1">
        <w:t xml:space="preserve">s of </w:t>
      </w:r>
      <w:r w:rsidR="00BA463D" w:rsidRPr="000A7FD1">
        <w:t xml:space="preserve">controls related to </w:t>
      </w:r>
      <w:r w:rsidR="00755614" w:rsidRPr="000A7FD1">
        <w:t xml:space="preserve">the remaining components of internal control—control environment, entity risk assessment, information and communication, </w:t>
      </w:r>
      <w:r w:rsidR="00B26C46" w:rsidRPr="000A7FD1">
        <w:t xml:space="preserve">and </w:t>
      </w:r>
      <w:r w:rsidR="00755614" w:rsidRPr="000A7FD1">
        <w:t>monitoring—</w:t>
      </w:r>
      <w:r w:rsidRPr="000A7FD1">
        <w:t xml:space="preserve">to </w:t>
      </w:r>
      <w:r w:rsidR="00755614" w:rsidRPr="000A7FD1">
        <w:t xml:space="preserve">support </w:t>
      </w:r>
      <w:r w:rsidRPr="000A7FD1">
        <w:t xml:space="preserve">the auditor’s </w:t>
      </w:r>
      <w:r w:rsidR="00684FA5" w:rsidRPr="000A7FD1">
        <w:t>assessment of the effectiveness of internal control over financial reporting</w:t>
      </w:r>
      <w:r w:rsidR="00684FA5" w:rsidRPr="000A7FD1" w:rsidDel="00684FA5">
        <w:t xml:space="preserve"> </w:t>
      </w:r>
      <w:r w:rsidRPr="000A7FD1">
        <w:t>(FAM 360.</w:t>
      </w:r>
      <w:r w:rsidR="00755614" w:rsidRPr="000A7FD1">
        <w:t>19</w:t>
      </w:r>
      <w:r w:rsidRPr="000A7FD1">
        <w:t>).</w:t>
      </w:r>
    </w:p>
    <w:p w14:paraId="2064495F" w14:textId="0A0D8CB6" w:rsidR="009C280D" w:rsidRPr="000A7FD1" w:rsidRDefault="00737295" w:rsidP="009C280D">
      <w:pPr>
        <w:pStyle w:val="FAMSubsection"/>
      </w:pPr>
      <w:r w:rsidRPr="000A7FD1">
        <w:t>The auditor should evaluate the results of control tests performed through the internal control phase (FAM 360.2</w:t>
      </w:r>
      <w:r w:rsidR="00684FA5" w:rsidRPr="000A7FD1">
        <w:t>0</w:t>
      </w:r>
      <w:r w:rsidR="00BB5064" w:rsidRPr="000A7FD1">
        <w:t>–</w:t>
      </w:r>
      <w:r w:rsidRPr="000A7FD1">
        <w:t>.</w:t>
      </w:r>
      <w:r w:rsidR="008660C7" w:rsidRPr="000A7FD1">
        <w:t>22</w:t>
      </w:r>
      <w:r w:rsidRPr="000A7FD1">
        <w:t>).</w:t>
      </w:r>
      <w:r w:rsidR="00263159" w:rsidRPr="000A7FD1">
        <w:t xml:space="preserve"> </w:t>
      </w:r>
    </w:p>
    <w:p w14:paraId="684A7CE8" w14:textId="3FEEA1C8" w:rsidR="009C280D" w:rsidRPr="000A7FD1" w:rsidRDefault="009C280D" w:rsidP="009C280D">
      <w:pPr>
        <w:pStyle w:val="FAMSubsection"/>
      </w:pPr>
      <w:r w:rsidRPr="000A7FD1">
        <w:t xml:space="preserve">Based on the results of control tests performed through the internal control phase and </w:t>
      </w:r>
      <w:r w:rsidR="007806E9" w:rsidRPr="000A7FD1">
        <w:t xml:space="preserve">the results of sampling control tests in the testing phase </w:t>
      </w:r>
      <w:r w:rsidRPr="000A7FD1">
        <w:t xml:space="preserve">(see FAM 450), the auditor should evaluate the </w:t>
      </w:r>
      <w:r w:rsidR="00321380" w:rsidRPr="000A7FD1">
        <w:t>effectiveness of the entity’s</w:t>
      </w:r>
      <w:r w:rsidRPr="000A7FD1">
        <w:t xml:space="preserve"> internal control over financial reporting (FAM 360.</w:t>
      </w:r>
      <w:r w:rsidR="008660C7" w:rsidRPr="000A7FD1">
        <w:t>23</w:t>
      </w:r>
      <w:r w:rsidRPr="000A7FD1">
        <w:t xml:space="preserve">). </w:t>
      </w:r>
    </w:p>
    <w:p w14:paraId="15250953" w14:textId="12AE616F" w:rsidR="00C80404" w:rsidRPr="000A7FD1" w:rsidRDefault="00617918" w:rsidP="004A102E">
      <w:pPr>
        <w:pStyle w:val="FAMSubsection"/>
      </w:pPr>
      <w:r w:rsidRPr="000A7FD1">
        <w:t>For CFO Act agencies, t</w:t>
      </w:r>
      <w:r w:rsidR="00C80404" w:rsidRPr="000A7FD1">
        <w:t xml:space="preserve">he auditor should design and conduct tests of the financial management systems’ </w:t>
      </w:r>
      <w:r w:rsidR="003C2AB4" w:rsidRPr="000A7FD1">
        <w:t xml:space="preserve">substantial </w:t>
      </w:r>
      <w:r w:rsidR="00C80404" w:rsidRPr="000A7FD1">
        <w:t>compliance with the three FFMIA</w:t>
      </w:r>
      <w:r w:rsidR="00BB5064" w:rsidRPr="000A7FD1">
        <w:t xml:space="preserve"> requirements</w:t>
      </w:r>
      <w:r w:rsidR="00C80404" w:rsidRPr="000A7FD1">
        <w:t>, if the auditor determines that such tests are necessary (see FAM 350.0</w:t>
      </w:r>
      <w:r w:rsidR="00410EB4" w:rsidRPr="000A7FD1">
        <w:t>3</w:t>
      </w:r>
      <w:r w:rsidR="00D916A6" w:rsidRPr="000A7FD1">
        <w:t xml:space="preserve"> </w:t>
      </w:r>
      <w:r w:rsidR="00C80404" w:rsidRPr="000A7FD1">
        <w:t>and 350.2</w:t>
      </w:r>
      <w:r w:rsidR="007061C1" w:rsidRPr="000A7FD1">
        <w:t>7</w:t>
      </w:r>
      <w:r w:rsidR="00BB5064" w:rsidRPr="000A7FD1">
        <w:t>–</w:t>
      </w:r>
      <w:r w:rsidR="00D916A6" w:rsidRPr="000A7FD1">
        <w:t>.</w:t>
      </w:r>
      <w:r w:rsidR="007061C1" w:rsidRPr="000A7FD1">
        <w:t>30</w:t>
      </w:r>
      <w:r w:rsidR="00C80404" w:rsidRPr="000A7FD1">
        <w:t>). After testing, the auditor may make a preliminary conclusion as to whether the entity’s financial management systems compl</w:t>
      </w:r>
      <w:r w:rsidR="00D74C0F" w:rsidRPr="000A7FD1">
        <w:t xml:space="preserve">y </w:t>
      </w:r>
      <w:r w:rsidR="00C32E29" w:rsidRPr="000A7FD1">
        <w:t xml:space="preserve">substantially </w:t>
      </w:r>
      <w:r w:rsidR="00D74C0F" w:rsidRPr="000A7FD1">
        <w:t xml:space="preserve">with </w:t>
      </w:r>
      <w:r w:rsidR="003C2AB4" w:rsidRPr="000A7FD1">
        <w:t xml:space="preserve">the </w:t>
      </w:r>
      <w:r w:rsidR="009D14CF" w:rsidRPr="000A7FD1">
        <w:t xml:space="preserve">three </w:t>
      </w:r>
      <w:r w:rsidR="00D74C0F" w:rsidRPr="000A7FD1">
        <w:t xml:space="preserve">FFMIA </w:t>
      </w:r>
      <w:r w:rsidR="003C2AB4" w:rsidRPr="000A7FD1">
        <w:t xml:space="preserve">requirements </w:t>
      </w:r>
      <w:r w:rsidR="00D74C0F" w:rsidRPr="000A7FD1">
        <w:t>(see FAM 360.</w:t>
      </w:r>
      <w:r w:rsidR="008660C7" w:rsidRPr="000A7FD1">
        <w:t>24</w:t>
      </w:r>
      <w:r w:rsidR="00D74C0F" w:rsidRPr="000A7FD1">
        <w:t>).</w:t>
      </w:r>
    </w:p>
    <w:p w14:paraId="6F7AC289" w14:textId="10E4E457" w:rsidR="00E817D0" w:rsidRPr="000A7FD1" w:rsidRDefault="0076798B" w:rsidP="0049778C">
      <w:pPr>
        <w:pStyle w:val="StyleHeading3FAM"/>
      </w:pPr>
      <w:r w:rsidRPr="000A7FD1">
        <w:t xml:space="preserve">Perform </w:t>
      </w:r>
      <w:r w:rsidR="00103175" w:rsidRPr="000A7FD1">
        <w:t>Test</w:t>
      </w:r>
      <w:r w:rsidRPr="000A7FD1">
        <w:t>s of</w:t>
      </w:r>
      <w:r w:rsidR="00103175" w:rsidRPr="000A7FD1">
        <w:t xml:space="preserve"> </w:t>
      </w:r>
      <w:r w:rsidR="00C11AC3" w:rsidRPr="000A7FD1">
        <w:t>Control</w:t>
      </w:r>
      <w:r w:rsidR="00103175" w:rsidRPr="000A7FD1">
        <w:t>s</w:t>
      </w:r>
    </w:p>
    <w:p w14:paraId="70EB2D2F" w14:textId="46DC9ABE" w:rsidR="000A4D3E" w:rsidRPr="000A7FD1" w:rsidRDefault="000A4D3E" w:rsidP="0012776D">
      <w:pPr>
        <w:pStyle w:val="FAMSubsection"/>
      </w:pPr>
      <w:r w:rsidRPr="000A7FD1">
        <w:t xml:space="preserve">When planning control tests, the auditor should select sufficient items for control testing to support a low level of assessed control risk. </w:t>
      </w:r>
      <w:r w:rsidR="00DB6B8B" w:rsidRPr="000A7FD1">
        <w:t>For control</w:t>
      </w:r>
      <w:r w:rsidR="00684FA5" w:rsidRPr="000A7FD1">
        <w:t>s</w:t>
      </w:r>
      <w:r w:rsidR="00950793" w:rsidRPr="000A7FD1">
        <w:t xml:space="preserve"> </w:t>
      </w:r>
      <w:r w:rsidR="00DB6B8B" w:rsidRPr="000A7FD1">
        <w:t>that do not operate frequently, such as those that operate only once or twice a year</w:t>
      </w:r>
      <w:r w:rsidR="00235F49" w:rsidRPr="000A7FD1">
        <w:t xml:space="preserve"> (e.g., controls over the year-end closing process)</w:t>
      </w:r>
      <w:r w:rsidR="00DB6B8B" w:rsidRPr="000A7FD1">
        <w:t xml:space="preserve">, the auditor may determine that it is </w:t>
      </w:r>
      <w:r w:rsidR="00235F49" w:rsidRPr="000A7FD1">
        <w:t xml:space="preserve">necessary </w:t>
      </w:r>
      <w:r w:rsidR="00DB6B8B" w:rsidRPr="000A7FD1">
        <w:t xml:space="preserve">to test all the items in the population (i.e., all occurrences of the control performance during the audit period). </w:t>
      </w:r>
      <w:r w:rsidR="00235F49" w:rsidRPr="000A7FD1">
        <w:t>If the auditor does not plan to test all of the items in the population, t</w:t>
      </w:r>
      <w:r w:rsidRPr="000A7FD1">
        <w:t xml:space="preserve">he auditor generally </w:t>
      </w:r>
      <w:r w:rsidR="004507D8" w:rsidRPr="000A7FD1">
        <w:t xml:space="preserve">should </w:t>
      </w:r>
      <w:r w:rsidRPr="000A7FD1">
        <w:t>use one of two methods to select items for control testing: (1) statistical sampling (intended to be representative of and projected to the population) or (2) nonstatistical selection (not representative of and not projectable to the population).</w:t>
      </w:r>
      <w:r w:rsidR="00862673" w:rsidRPr="000A7FD1">
        <w:rPr>
          <w:rStyle w:val="FootnoteReference"/>
        </w:rPr>
        <w:footnoteReference w:id="7"/>
      </w:r>
      <w:r w:rsidRPr="000A7FD1">
        <w:t xml:space="preserve"> Control tests that involve nonstatistical selection </w:t>
      </w:r>
      <w:r w:rsidR="007B7E43" w:rsidRPr="000A7FD1">
        <w:t>are</w:t>
      </w:r>
      <w:r w:rsidRPr="000A7FD1">
        <w:t xml:space="preserve"> discussed below and sampling control tests are discussed in FAM 450.</w:t>
      </w:r>
    </w:p>
    <w:p w14:paraId="30989574" w14:textId="1A23DAA4" w:rsidR="00C11AC3" w:rsidRPr="000A7FD1" w:rsidRDefault="00862673" w:rsidP="00C11AC3">
      <w:pPr>
        <w:pStyle w:val="FAMHeading4"/>
        <w:rPr>
          <w:sz w:val="24"/>
        </w:rPr>
      </w:pPr>
      <w:r w:rsidRPr="000A7FD1">
        <w:rPr>
          <w:sz w:val="24"/>
        </w:rPr>
        <w:t>Control</w:t>
      </w:r>
      <w:r w:rsidR="00EC092D" w:rsidRPr="000A7FD1">
        <w:rPr>
          <w:sz w:val="24"/>
        </w:rPr>
        <w:t xml:space="preserve"> Test</w:t>
      </w:r>
      <w:r w:rsidR="00684FA5" w:rsidRPr="000A7FD1">
        <w:rPr>
          <w:sz w:val="24"/>
        </w:rPr>
        <w:t xml:space="preserve">s </w:t>
      </w:r>
      <w:r w:rsidR="008D1A6A" w:rsidRPr="000A7FD1">
        <w:rPr>
          <w:sz w:val="24"/>
        </w:rPr>
        <w:t>T</w:t>
      </w:r>
      <w:r w:rsidR="00C11AC3" w:rsidRPr="000A7FD1">
        <w:rPr>
          <w:sz w:val="24"/>
        </w:rPr>
        <w:t>hat Involve Nonstatistical Selection</w:t>
      </w:r>
    </w:p>
    <w:p w14:paraId="4E36582D" w14:textId="4D5070F5" w:rsidR="00001FFE" w:rsidRPr="000A7FD1" w:rsidRDefault="00001FFE" w:rsidP="00001FFE">
      <w:pPr>
        <w:pStyle w:val="FAM-Subsection"/>
      </w:pPr>
      <w:r w:rsidRPr="000A7FD1">
        <w:t>Performing control tests that involve nonstatistical selection may provide sufficient evidence, along with other sources of evidence, that a control</w:t>
      </w:r>
      <w:r w:rsidR="00950793" w:rsidRPr="000A7FD1">
        <w:t xml:space="preserve"> </w:t>
      </w:r>
      <w:r w:rsidR="00E07BE4" w:rsidRPr="000A7FD1">
        <w:t>i</w:t>
      </w:r>
      <w:r w:rsidRPr="000A7FD1">
        <w:t xml:space="preserve">s </w:t>
      </w:r>
      <w:r w:rsidR="00E07BE4" w:rsidRPr="000A7FD1">
        <w:t xml:space="preserve">operating </w:t>
      </w:r>
      <w:r w:rsidRPr="000A7FD1">
        <w:t>effective</w:t>
      </w:r>
      <w:r w:rsidR="00E07BE4" w:rsidRPr="000A7FD1">
        <w:t>ly</w:t>
      </w:r>
      <w:r w:rsidRPr="000A7FD1">
        <w:t xml:space="preserve"> during the year and may be the most efficient way to test. </w:t>
      </w:r>
      <w:r w:rsidR="007A66A6" w:rsidRPr="000A7FD1">
        <w:t>For example, some controls may operate biweekly or weekly, such as controls over payroll processing that operate 26 or 52 times a year.</w:t>
      </w:r>
      <w:r w:rsidR="00E07BE4" w:rsidRPr="000A7FD1">
        <w:t xml:space="preserve"> </w:t>
      </w:r>
      <w:r w:rsidR="00950793" w:rsidRPr="000A7FD1">
        <w:t>For these controls</w:t>
      </w:r>
      <w:r w:rsidR="00E07BE4" w:rsidRPr="000A7FD1">
        <w:t xml:space="preserve">, </w:t>
      </w:r>
      <w:r w:rsidRPr="000A7FD1">
        <w:lastRenderedPageBreak/>
        <w:t xml:space="preserve">statistical sampling </w:t>
      </w:r>
      <w:r w:rsidR="000A77D4" w:rsidRPr="000A7FD1">
        <w:t>may</w:t>
      </w:r>
      <w:r w:rsidRPr="000A7FD1">
        <w:t xml:space="preserve"> not be efficient</w:t>
      </w:r>
      <w:r w:rsidR="00E07BE4" w:rsidRPr="000A7FD1">
        <w:t xml:space="preserve"> or even feasible given the small </w:t>
      </w:r>
      <w:r w:rsidR="000A1E13" w:rsidRPr="000A7FD1">
        <w:t xml:space="preserve">number of items in the </w:t>
      </w:r>
      <w:r w:rsidR="00E07BE4" w:rsidRPr="000A7FD1">
        <w:t>population from which to select the sample</w:t>
      </w:r>
      <w:r w:rsidRPr="000A7FD1">
        <w:t>. For these less frequently operating control</w:t>
      </w:r>
      <w:r w:rsidR="00950793" w:rsidRPr="000A7FD1">
        <w:t>s</w:t>
      </w:r>
      <w:r w:rsidRPr="000A7FD1">
        <w:t xml:space="preserve">, the effect of other sources of evidence is often greater than </w:t>
      </w:r>
      <w:r w:rsidR="00050B75" w:rsidRPr="000A7FD1">
        <w:t>it is for controls that operate more frequently</w:t>
      </w:r>
      <w:r w:rsidRPr="000A7FD1">
        <w:t xml:space="preserve">. </w:t>
      </w:r>
    </w:p>
    <w:p w14:paraId="2CD5B793" w14:textId="7B28C9EC" w:rsidR="00001FFE" w:rsidRPr="000A7FD1" w:rsidRDefault="00001FFE" w:rsidP="009F32F4">
      <w:pPr>
        <w:pStyle w:val="FAM-Subsection"/>
        <w:numPr>
          <w:ilvl w:val="0"/>
          <w:numId w:val="0"/>
        </w:numPr>
        <w:ind w:left="1440"/>
      </w:pPr>
      <w:r w:rsidRPr="000A7FD1">
        <w:t>Table 360.1 provides guidance</w:t>
      </w:r>
      <w:r w:rsidR="00CD3AA9" w:rsidRPr="000A7FD1">
        <w:t xml:space="preserve"> </w:t>
      </w:r>
      <w:r w:rsidR="000A1E13" w:rsidRPr="000A7FD1">
        <w:t xml:space="preserve">on the number of items to select when </w:t>
      </w:r>
      <w:r w:rsidRPr="000A7FD1">
        <w:t>testing small populations associated with less frequently operating control</w:t>
      </w:r>
      <w:r w:rsidR="00950793" w:rsidRPr="000A7FD1">
        <w:t>s</w:t>
      </w:r>
      <w:r w:rsidR="009F32F4" w:rsidRPr="000A7FD1">
        <w:t xml:space="preserve"> (see AICPA’s audit guide, </w:t>
      </w:r>
      <w:r w:rsidR="009F32F4" w:rsidRPr="000A7FD1">
        <w:rPr>
          <w:i/>
          <w:iCs/>
        </w:rPr>
        <w:t>Audit Sampling</w:t>
      </w:r>
      <w:r w:rsidR="009F32F4" w:rsidRPr="000A7FD1">
        <w:t>)</w:t>
      </w:r>
      <w:r w:rsidRPr="000A7FD1">
        <w:t>. For larger populations, such as controls that operate daily, the auditor generally should perform statistical sampling to obtain evidence of control effectiveness (see FAM 430 and 450)</w:t>
      </w:r>
      <w:r w:rsidR="00F63E7D" w:rsidRPr="000A7FD1">
        <w:t>.</w:t>
      </w:r>
      <w:r w:rsidRPr="000A7FD1">
        <w:t xml:space="preserve"> </w:t>
      </w:r>
    </w:p>
    <w:p w14:paraId="1DF05101" w14:textId="04CDA75C" w:rsidR="00001FFE" w:rsidRPr="000A7FD1" w:rsidRDefault="00001FFE" w:rsidP="00001FFE">
      <w:pPr>
        <w:pStyle w:val="FAM-Subsection"/>
        <w:numPr>
          <w:ilvl w:val="0"/>
          <w:numId w:val="0"/>
        </w:numPr>
        <w:ind w:left="1440"/>
        <w:rPr>
          <w:b/>
        </w:rPr>
      </w:pPr>
      <w:r w:rsidRPr="000A7FD1">
        <w:rPr>
          <w:b/>
        </w:rPr>
        <w:t>Table 360.1: Testing Small Populations</w:t>
      </w:r>
    </w:p>
    <w:tbl>
      <w:tblPr>
        <w:tblW w:w="0" w:type="auto"/>
        <w:tblInd w:w="1417" w:type="dxa"/>
        <w:tblBorders>
          <w:top w:val="double" w:sz="6" w:space="0" w:color="000000"/>
          <w:left w:val="double" w:sz="6" w:space="0" w:color="000000"/>
          <w:bottom w:val="double" w:sz="6" w:space="0" w:color="000000"/>
          <w:right w:val="double" w:sz="6" w:space="0" w:color="000000"/>
        </w:tblBorders>
        <w:tblLayout w:type="fixed"/>
        <w:tblCellMar>
          <w:left w:w="142" w:type="dxa"/>
          <w:right w:w="142" w:type="dxa"/>
        </w:tblCellMar>
        <w:tblLook w:val="0000" w:firstRow="0" w:lastRow="0" w:firstColumn="0" w:lastColumn="0" w:noHBand="0" w:noVBand="0"/>
      </w:tblPr>
      <w:tblGrid>
        <w:gridCol w:w="2520"/>
        <w:gridCol w:w="1800"/>
      </w:tblGrid>
      <w:tr w:rsidR="00001FFE" w:rsidRPr="000A7FD1" w14:paraId="34527A66" w14:textId="77777777" w:rsidTr="00E13FA9">
        <w:tc>
          <w:tcPr>
            <w:tcW w:w="2520" w:type="dxa"/>
            <w:tcBorders>
              <w:top w:val="double" w:sz="6" w:space="0" w:color="000000"/>
              <w:bottom w:val="outset" w:sz="6" w:space="0" w:color="auto"/>
            </w:tcBorders>
          </w:tcPr>
          <w:p w14:paraId="27605B99" w14:textId="1FB4655E" w:rsidR="00001FFE" w:rsidRPr="000A7FD1" w:rsidRDefault="00001FFE" w:rsidP="009B4811">
            <w:pPr>
              <w:pStyle w:val="Table-Head-Center"/>
              <w:keepLines/>
              <w:jc w:val="left"/>
            </w:pPr>
            <w:r w:rsidRPr="000A7FD1">
              <w:t xml:space="preserve">Control frequency </w:t>
            </w:r>
            <w:r w:rsidR="000F4D6F" w:rsidRPr="000A7FD1">
              <w:t xml:space="preserve">   </w:t>
            </w:r>
            <w:r w:rsidRPr="000A7FD1">
              <w:t>and population size</w:t>
            </w:r>
          </w:p>
        </w:tc>
        <w:tc>
          <w:tcPr>
            <w:tcW w:w="1800" w:type="dxa"/>
            <w:tcBorders>
              <w:top w:val="double" w:sz="6" w:space="0" w:color="000000"/>
              <w:bottom w:val="outset" w:sz="6" w:space="0" w:color="auto"/>
            </w:tcBorders>
          </w:tcPr>
          <w:p w14:paraId="36A6B3F4" w14:textId="609A1863" w:rsidR="00001FFE" w:rsidRPr="000A7FD1" w:rsidRDefault="007B7E43" w:rsidP="009B4811">
            <w:pPr>
              <w:pStyle w:val="Table-Head-Center"/>
              <w:keepLines/>
              <w:jc w:val="right"/>
            </w:pPr>
            <w:r w:rsidRPr="000A7FD1">
              <w:t>Number of        i</w:t>
            </w:r>
            <w:r w:rsidR="00001FFE" w:rsidRPr="000A7FD1">
              <w:t>tems to test</w:t>
            </w:r>
          </w:p>
        </w:tc>
      </w:tr>
      <w:tr w:rsidR="00001FFE" w:rsidRPr="000A7FD1" w14:paraId="194BD322" w14:textId="77777777" w:rsidTr="00E13FA9">
        <w:trPr>
          <w:trHeight w:val="144"/>
        </w:trPr>
        <w:tc>
          <w:tcPr>
            <w:tcW w:w="2520" w:type="dxa"/>
            <w:tcBorders>
              <w:top w:val="outset" w:sz="6" w:space="0" w:color="auto"/>
            </w:tcBorders>
          </w:tcPr>
          <w:p w14:paraId="5B2E5DF7" w14:textId="77777777" w:rsidR="00001FFE" w:rsidRPr="000A7FD1" w:rsidRDefault="00001FFE" w:rsidP="009B4811">
            <w:pPr>
              <w:pStyle w:val="Table-Cell-Center"/>
              <w:keepLines/>
              <w:tabs>
                <w:tab w:val="right" w:pos="2070"/>
              </w:tabs>
              <w:spacing w:before="60" w:after="60"/>
              <w:jc w:val="left"/>
            </w:pPr>
            <w:r w:rsidRPr="000A7FD1">
              <w:t xml:space="preserve">Quarterly </w:t>
            </w:r>
            <w:r w:rsidRPr="000A7FD1">
              <w:tab/>
              <w:t>(4)</w:t>
            </w:r>
          </w:p>
        </w:tc>
        <w:tc>
          <w:tcPr>
            <w:tcW w:w="1800" w:type="dxa"/>
            <w:tcBorders>
              <w:top w:val="outset" w:sz="6" w:space="0" w:color="auto"/>
            </w:tcBorders>
          </w:tcPr>
          <w:p w14:paraId="1CD7AE70" w14:textId="77777777" w:rsidR="00001FFE" w:rsidRPr="000A7FD1" w:rsidRDefault="00001FFE" w:rsidP="009B4811">
            <w:pPr>
              <w:pStyle w:val="Table-Cell-Center"/>
              <w:keepLines/>
              <w:spacing w:before="60" w:after="60"/>
              <w:jc w:val="right"/>
            </w:pPr>
            <w:r w:rsidRPr="000A7FD1">
              <w:t>2</w:t>
            </w:r>
          </w:p>
        </w:tc>
      </w:tr>
      <w:tr w:rsidR="00001FFE" w:rsidRPr="000A7FD1" w14:paraId="73A05FA3" w14:textId="77777777" w:rsidTr="00E13FA9">
        <w:trPr>
          <w:trHeight w:val="144"/>
        </w:trPr>
        <w:tc>
          <w:tcPr>
            <w:tcW w:w="2520" w:type="dxa"/>
          </w:tcPr>
          <w:p w14:paraId="0CEF8E08" w14:textId="77777777" w:rsidR="00001FFE" w:rsidRPr="000A7FD1" w:rsidRDefault="00001FFE" w:rsidP="009B4811">
            <w:pPr>
              <w:pStyle w:val="Table-Cell-Center"/>
              <w:keepLines/>
              <w:tabs>
                <w:tab w:val="right" w:pos="2070"/>
              </w:tabs>
              <w:spacing w:before="60" w:after="60"/>
              <w:jc w:val="left"/>
            </w:pPr>
            <w:r w:rsidRPr="000A7FD1">
              <w:t xml:space="preserve">Monthly </w:t>
            </w:r>
            <w:r w:rsidRPr="000A7FD1">
              <w:tab/>
              <w:t>(12)</w:t>
            </w:r>
          </w:p>
        </w:tc>
        <w:tc>
          <w:tcPr>
            <w:tcW w:w="1800" w:type="dxa"/>
          </w:tcPr>
          <w:p w14:paraId="5D2871BE" w14:textId="77777777" w:rsidR="00001FFE" w:rsidRPr="000A7FD1" w:rsidRDefault="00001FFE" w:rsidP="009B4811">
            <w:pPr>
              <w:pStyle w:val="Table-Cell-Center"/>
              <w:keepLines/>
              <w:spacing w:before="60" w:after="60"/>
              <w:jc w:val="right"/>
            </w:pPr>
            <w:r w:rsidRPr="000A7FD1">
              <w:t>2-4</w:t>
            </w:r>
          </w:p>
        </w:tc>
      </w:tr>
      <w:tr w:rsidR="00001FFE" w:rsidRPr="000A7FD1" w14:paraId="3878B22E" w14:textId="77777777" w:rsidTr="00E13FA9">
        <w:trPr>
          <w:trHeight w:val="144"/>
        </w:trPr>
        <w:tc>
          <w:tcPr>
            <w:tcW w:w="2520" w:type="dxa"/>
          </w:tcPr>
          <w:p w14:paraId="6A81D358" w14:textId="77777777" w:rsidR="00001FFE" w:rsidRPr="000A7FD1" w:rsidRDefault="00001FFE" w:rsidP="009B4811">
            <w:pPr>
              <w:pStyle w:val="Table-Cell-Center"/>
              <w:keepLines/>
              <w:tabs>
                <w:tab w:val="right" w:pos="2070"/>
              </w:tabs>
              <w:spacing w:before="60" w:after="60"/>
              <w:jc w:val="left"/>
            </w:pPr>
            <w:r w:rsidRPr="000A7FD1">
              <w:t xml:space="preserve">Semimonthly </w:t>
            </w:r>
            <w:r w:rsidRPr="000A7FD1">
              <w:tab/>
              <w:t>(24)</w:t>
            </w:r>
          </w:p>
        </w:tc>
        <w:tc>
          <w:tcPr>
            <w:tcW w:w="1800" w:type="dxa"/>
          </w:tcPr>
          <w:p w14:paraId="1195BCCD" w14:textId="77777777" w:rsidR="00001FFE" w:rsidRPr="000A7FD1" w:rsidRDefault="00001FFE" w:rsidP="009B4811">
            <w:pPr>
              <w:pStyle w:val="Table-Cell-Center"/>
              <w:keepLines/>
              <w:spacing w:before="60" w:after="60"/>
              <w:jc w:val="right"/>
            </w:pPr>
            <w:r w:rsidRPr="000A7FD1">
              <w:t>3-8</w:t>
            </w:r>
          </w:p>
        </w:tc>
      </w:tr>
      <w:tr w:rsidR="00001FFE" w:rsidRPr="000A7FD1" w14:paraId="43938BBC" w14:textId="77777777" w:rsidTr="00E13FA9">
        <w:trPr>
          <w:trHeight w:val="144"/>
        </w:trPr>
        <w:tc>
          <w:tcPr>
            <w:tcW w:w="2520" w:type="dxa"/>
          </w:tcPr>
          <w:p w14:paraId="095860E9" w14:textId="77777777" w:rsidR="00001FFE" w:rsidRPr="000A7FD1" w:rsidRDefault="00001FFE" w:rsidP="009B4811">
            <w:pPr>
              <w:pStyle w:val="Table-Cell-Center"/>
              <w:keepLines/>
              <w:tabs>
                <w:tab w:val="right" w:pos="2070"/>
              </w:tabs>
              <w:spacing w:before="60" w:after="60"/>
              <w:jc w:val="left"/>
            </w:pPr>
            <w:r w:rsidRPr="000A7FD1">
              <w:t xml:space="preserve">Weekly </w:t>
            </w:r>
            <w:r w:rsidRPr="000A7FD1">
              <w:tab/>
              <w:t>(52)</w:t>
            </w:r>
          </w:p>
        </w:tc>
        <w:tc>
          <w:tcPr>
            <w:tcW w:w="1800" w:type="dxa"/>
          </w:tcPr>
          <w:p w14:paraId="1E8A8817" w14:textId="77777777" w:rsidR="00001FFE" w:rsidRPr="000A7FD1" w:rsidRDefault="00001FFE" w:rsidP="009B4811">
            <w:pPr>
              <w:pStyle w:val="Table-Cell-Center"/>
              <w:keepLines/>
              <w:spacing w:before="60" w:after="60"/>
              <w:jc w:val="right"/>
            </w:pPr>
            <w:r w:rsidRPr="000A7FD1">
              <w:t>5-9</w:t>
            </w:r>
          </w:p>
        </w:tc>
      </w:tr>
    </w:tbl>
    <w:p w14:paraId="64D50A09" w14:textId="1B81AD76" w:rsidR="00D62307" w:rsidRPr="000A7FD1" w:rsidRDefault="00145A89" w:rsidP="00D62307">
      <w:pPr>
        <w:pStyle w:val="FAM-Subsection"/>
      </w:pPr>
      <w:r w:rsidRPr="000A7FD1">
        <w:t>In</w:t>
      </w:r>
      <w:r w:rsidR="006419AF" w:rsidRPr="000A7FD1">
        <w:t xml:space="preserve"> nonstatistical selection, the auditor selects items </w:t>
      </w:r>
      <w:r w:rsidRPr="000A7FD1">
        <w:t xml:space="preserve">for control testing </w:t>
      </w:r>
      <w:r w:rsidR="006419AF" w:rsidRPr="000A7FD1">
        <w:t>based on the auditor’s judgment. The auditor can test t</w:t>
      </w:r>
      <w:r w:rsidR="001B03A8" w:rsidRPr="000A7FD1">
        <w:t>he selected</w:t>
      </w:r>
      <w:r w:rsidR="006419AF" w:rsidRPr="000A7FD1">
        <w:t xml:space="preserve"> items using</w:t>
      </w:r>
      <w:r w:rsidR="0060049F" w:rsidRPr="000A7FD1">
        <w:t xml:space="preserve"> </w:t>
      </w:r>
      <w:r w:rsidR="00D62307" w:rsidRPr="000A7FD1">
        <w:t>any type of test or combination of tests (i.e., observation, inquiry, inspection</w:t>
      </w:r>
      <w:r w:rsidR="009A3636" w:rsidRPr="000A7FD1">
        <w:t>, or a combination of these</w:t>
      </w:r>
      <w:r w:rsidR="00424D3E" w:rsidRPr="000A7FD1">
        <w:t>, although inquiry alone is not sufficient</w:t>
      </w:r>
      <w:r w:rsidR="00D62307" w:rsidRPr="000A7FD1">
        <w:t xml:space="preserve">). For example, the auditor may determine that </w:t>
      </w:r>
      <w:r w:rsidR="001B03A8" w:rsidRPr="000A7FD1">
        <w:t>inquiries</w:t>
      </w:r>
      <w:r w:rsidR="00D62307" w:rsidRPr="000A7FD1">
        <w:t xml:space="preserve"> </w:t>
      </w:r>
      <w:r w:rsidRPr="000A7FD1">
        <w:t>of</w:t>
      </w:r>
      <w:r w:rsidR="00D62307" w:rsidRPr="000A7FD1">
        <w:t xml:space="preserve"> entity personnel </w:t>
      </w:r>
      <w:r w:rsidR="001B03A8" w:rsidRPr="000A7FD1">
        <w:t xml:space="preserve">regarding </w:t>
      </w:r>
      <w:r w:rsidR="002F41BB" w:rsidRPr="000A7FD1">
        <w:t xml:space="preserve">the specific procedures performed in a control </w:t>
      </w:r>
      <w:r w:rsidR="00D62307" w:rsidRPr="000A7FD1">
        <w:t>and inspection of documents</w:t>
      </w:r>
      <w:r w:rsidR="002F41BB" w:rsidRPr="000A7FD1">
        <w:t xml:space="preserve"> evidencing performance of those procedures </w:t>
      </w:r>
      <w:r w:rsidR="00EC092D" w:rsidRPr="000A7FD1">
        <w:t xml:space="preserve">together </w:t>
      </w:r>
      <w:r w:rsidR="002F41BB" w:rsidRPr="000A7FD1">
        <w:t>provide sufficient evidence of the control’s operating effectiveness.</w:t>
      </w:r>
      <w:r w:rsidR="00D62307" w:rsidRPr="000A7FD1">
        <w:t xml:space="preserve"> </w:t>
      </w:r>
    </w:p>
    <w:p w14:paraId="064CB7B4" w14:textId="2460189C" w:rsidR="00594366" w:rsidRPr="000A7FD1" w:rsidRDefault="00594366" w:rsidP="00594366">
      <w:pPr>
        <w:pStyle w:val="FAMHeading4"/>
        <w:rPr>
          <w:sz w:val="24"/>
        </w:rPr>
      </w:pPr>
      <w:r w:rsidRPr="000A7FD1">
        <w:rPr>
          <w:sz w:val="24"/>
        </w:rPr>
        <w:t>Test S</w:t>
      </w:r>
      <w:r w:rsidR="00724EB3" w:rsidRPr="000A7FD1">
        <w:rPr>
          <w:sz w:val="24"/>
        </w:rPr>
        <w:t>egregation-of-</w:t>
      </w:r>
      <w:r w:rsidR="00944C9E" w:rsidRPr="000A7FD1">
        <w:rPr>
          <w:sz w:val="24"/>
        </w:rPr>
        <w:t>Duties</w:t>
      </w:r>
      <w:r w:rsidRPr="000A7FD1">
        <w:rPr>
          <w:sz w:val="24"/>
        </w:rPr>
        <w:t xml:space="preserve"> Controls</w:t>
      </w:r>
    </w:p>
    <w:p w14:paraId="64E170D0" w14:textId="1038286E" w:rsidR="00AB4548" w:rsidRPr="000A7FD1" w:rsidRDefault="00AB4548" w:rsidP="00AB4548">
      <w:pPr>
        <w:pStyle w:val="FAMSubsection"/>
      </w:pPr>
      <w:r w:rsidRPr="000A7FD1">
        <w:t xml:space="preserve">Segregation-of-duties controls are designed to reduce the opportunities for any person to be in a position both to perpetrate and to conceal misstatements, especially fraud, in the normal course of duties. Typically, an entity achieves adequate segregation of duties by establishing controls (such as segregating asset custody from recordkeeping functions) to prevent any person from having uncontrolled access to both assets and related records. </w:t>
      </w:r>
    </w:p>
    <w:p w14:paraId="37B1D459" w14:textId="25BA1212" w:rsidR="00AB4548" w:rsidRPr="000A7FD1" w:rsidRDefault="00AB4548" w:rsidP="00AB4548">
      <w:pPr>
        <w:pStyle w:val="FAMSubsection"/>
      </w:pPr>
      <w:r w:rsidRPr="000A7FD1">
        <w:t xml:space="preserve">The auditor should test </w:t>
      </w:r>
      <w:r w:rsidR="008719AE" w:rsidRPr="000A7FD1">
        <w:t xml:space="preserve">and document </w:t>
      </w:r>
      <w:r w:rsidRPr="000A7FD1">
        <w:t>segregation</w:t>
      </w:r>
      <w:r w:rsidR="00424D3E" w:rsidRPr="000A7FD1">
        <w:t>-</w:t>
      </w:r>
      <w:r w:rsidRPr="000A7FD1">
        <w:t>of</w:t>
      </w:r>
      <w:r w:rsidR="00424D3E" w:rsidRPr="000A7FD1">
        <w:t>-</w:t>
      </w:r>
      <w:r w:rsidRPr="000A7FD1">
        <w:t xml:space="preserve">duties </w:t>
      </w:r>
      <w:r w:rsidR="00424D3E" w:rsidRPr="000A7FD1">
        <w:t xml:space="preserve">controls and </w:t>
      </w:r>
      <w:r w:rsidRPr="000A7FD1">
        <w:t>may use the following procedures</w:t>
      </w:r>
      <w:r w:rsidR="00424D3E" w:rsidRPr="000A7FD1">
        <w:t xml:space="preserve"> as appropriate</w:t>
      </w:r>
      <w:r w:rsidRPr="000A7FD1">
        <w:t>:</w:t>
      </w:r>
    </w:p>
    <w:p w14:paraId="3C2C2CAE" w14:textId="77777777" w:rsidR="00AB4548" w:rsidRPr="000A7FD1" w:rsidRDefault="00AB4548" w:rsidP="00437837">
      <w:pPr>
        <w:pStyle w:val="FAM-alpha-1"/>
        <w:numPr>
          <w:ilvl w:val="0"/>
          <w:numId w:val="87"/>
        </w:numPr>
        <w:ind w:left="1800"/>
        <w:rPr>
          <w:rFonts w:ascii="Arial" w:hAnsi="Arial" w:cs="Arial"/>
          <w:sz w:val="22"/>
        </w:rPr>
      </w:pPr>
      <w:r w:rsidRPr="000A7FD1">
        <w:rPr>
          <w:rFonts w:ascii="Arial" w:hAnsi="Arial" w:cs="Arial"/>
          <w:sz w:val="22"/>
        </w:rPr>
        <w:t>Identify the assets to be controlled through the segregation of duties.</w:t>
      </w:r>
    </w:p>
    <w:p w14:paraId="05BADA98" w14:textId="77777777" w:rsidR="00AB4548" w:rsidRPr="000A7FD1" w:rsidRDefault="00AB4548" w:rsidP="00437837">
      <w:pPr>
        <w:pStyle w:val="FAM-alpha-1"/>
        <w:numPr>
          <w:ilvl w:val="0"/>
          <w:numId w:val="87"/>
        </w:numPr>
        <w:ind w:left="1800"/>
        <w:rPr>
          <w:rFonts w:ascii="Arial" w:hAnsi="Arial" w:cs="Arial"/>
          <w:sz w:val="22"/>
        </w:rPr>
      </w:pPr>
      <w:r w:rsidRPr="000A7FD1">
        <w:rPr>
          <w:rFonts w:ascii="Arial" w:hAnsi="Arial" w:cs="Arial"/>
          <w:sz w:val="22"/>
        </w:rPr>
        <w:t>Identify the individuals who have authorized access (direct or indirect) to the assets. An individual with direct access is authorized to handle the assets directly (such as during the processing of cash receipts). An individual with indirect access is authorized to prepare documents that cause the release or transfer of assets (such as preparing the necessary forms to request a cash disbursement or transfer of inventory).</w:t>
      </w:r>
    </w:p>
    <w:p w14:paraId="6C60A25A" w14:textId="3525F750" w:rsidR="00AB4548" w:rsidRPr="000A7FD1" w:rsidRDefault="00AB4548" w:rsidP="00437837">
      <w:pPr>
        <w:pStyle w:val="FAM-alpha-1"/>
        <w:numPr>
          <w:ilvl w:val="0"/>
          <w:numId w:val="87"/>
        </w:numPr>
        <w:ind w:left="1800"/>
        <w:rPr>
          <w:rFonts w:ascii="Arial" w:hAnsi="Arial" w:cs="Arial"/>
          <w:sz w:val="22"/>
        </w:rPr>
      </w:pPr>
      <w:r w:rsidRPr="000A7FD1">
        <w:rPr>
          <w:rFonts w:ascii="Arial" w:hAnsi="Arial" w:cs="Arial"/>
          <w:sz w:val="22"/>
        </w:rPr>
        <w:t xml:space="preserve">For each individual with authorized access to assets, determine whether there are sufficient asset access controls. Asset access controls are those controls that are designed to provide assurance that actions taken by </w:t>
      </w:r>
      <w:r w:rsidRPr="000A7FD1">
        <w:rPr>
          <w:rFonts w:ascii="Arial" w:hAnsi="Arial" w:cs="Arial"/>
          <w:sz w:val="22"/>
        </w:rPr>
        <w:lastRenderedPageBreak/>
        <w:t>individuals with authorized access to assets are reviewed and approved by other individuals. For example, an approval of an invoice for payment generally provides asset access controls (relating to cash) over those individuals authorized to prepare supporting documentation for the transaction. If information systems provide access to assets, the auditor should design tests of IS controls to identify (1) individuals (including information systems personnel) who may use the computer to obtain access and (2) asset access controls over such individuals. See FAM 360.</w:t>
      </w:r>
      <w:r w:rsidR="00424D3E" w:rsidRPr="000A7FD1">
        <w:rPr>
          <w:rFonts w:ascii="Arial" w:hAnsi="Arial" w:cs="Arial"/>
          <w:sz w:val="22"/>
        </w:rPr>
        <w:t>1</w:t>
      </w:r>
      <w:r w:rsidR="00FB3FD0" w:rsidRPr="000A7FD1">
        <w:rPr>
          <w:rFonts w:ascii="Arial" w:hAnsi="Arial" w:cs="Arial"/>
          <w:sz w:val="22"/>
        </w:rPr>
        <w:t>1</w:t>
      </w:r>
      <w:r w:rsidRPr="000A7FD1">
        <w:rPr>
          <w:rFonts w:ascii="Arial" w:hAnsi="Arial" w:cs="Arial"/>
          <w:sz w:val="22"/>
        </w:rPr>
        <w:t xml:space="preserve"> </w:t>
      </w:r>
      <w:r w:rsidR="00424D3E" w:rsidRPr="000A7FD1">
        <w:rPr>
          <w:rFonts w:ascii="Arial" w:hAnsi="Arial" w:cs="Arial"/>
          <w:sz w:val="22"/>
        </w:rPr>
        <w:t>through .1</w:t>
      </w:r>
      <w:r w:rsidR="00FB3FD0" w:rsidRPr="000A7FD1">
        <w:rPr>
          <w:rFonts w:ascii="Arial" w:hAnsi="Arial" w:cs="Arial"/>
          <w:sz w:val="22"/>
        </w:rPr>
        <w:t>8</w:t>
      </w:r>
      <w:r w:rsidR="00145A89" w:rsidRPr="000A7FD1">
        <w:rPr>
          <w:rFonts w:ascii="Arial" w:hAnsi="Arial" w:cs="Arial"/>
          <w:sz w:val="22"/>
        </w:rPr>
        <w:t xml:space="preserve"> for </w:t>
      </w:r>
      <w:r w:rsidRPr="000A7FD1">
        <w:rPr>
          <w:rFonts w:ascii="Arial" w:hAnsi="Arial" w:cs="Arial"/>
          <w:sz w:val="22"/>
        </w:rPr>
        <w:t>tests of IS controls.</w:t>
      </w:r>
    </w:p>
    <w:p w14:paraId="52414C2F" w14:textId="77777777" w:rsidR="00AB4548" w:rsidRPr="000A7FD1" w:rsidRDefault="00AB4548" w:rsidP="00437837">
      <w:pPr>
        <w:pStyle w:val="FAM-alpha-1"/>
        <w:numPr>
          <w:ilvl w:val="0"/>
          <w:numId w:val="87"/>
        </w:numPr>
        <w:ind w:left="1800"/>
        <w:rPr>
          <w:rFonts w:ascii="Arial" w:hAnsi="Arial" w:cs="Arial"/>
          <w:sz w:val="22"/>
        </w:rPr>
      </w:pPr>
      <w:r w:rsidRPr="000A7FD1">
        <w:rPr>
          <w:rFonts w:ascii="Arial" w:hAnsi="Arial" w:cs="Arial"/>
          <w:sz w:val="22"/>
        </w:rPr>
        <w:t xml:space="preserve">For individuals with authorized access to assets over which asset access controls are insufficient, determine whether such individuals can affect any recording of transactions in the accounting records. If so, segregation of duties is insufficient, unless such access to accounting records is controlled. For example, the person who processes cash receipts may also be able to record entries in the accounting records. Such a person may be in a position to manipulate the accounting records to conceal a shortage in the cash </w:t>
      </w:r>
      <w:proofErr w:type="gramStart"/>
      <w:r w:rsidRPr="000A7FD1">
        <w:rPr>
          <w:rFonts w:ascii="Arial" w:hAnsi="Arial" w:cs="Arial"/>
          <w:sz w:val="22"/>
        </w:rPr>
        <w:t>account, unless</w:t>
      </w:r>
      <w:proofErr w:type="gramEnd"/>
      <w:r w:rsidRPr="000A7FD1">
        <w:rPr>
          <w:rFonts w:ascii="Arial" w:hAnsi="Arial" w:cs="Arial"/>
          <w:sz w:val="22"/>
        </w:rPr>
        <w:t xml:space="preserve"> another individual reviews all accounting entries that the person made (or should have been made). </w:t>
      </w:r>
    </w:p>
    <w:p w14:paraId="2E1479B9" w14:textId="18294670" w:rsidR="00AB4548" w:rsidRPr="000A7FD1" w:rsidRDefault="00544F9D" w:rsidP="00AB4548">
      <w:pPr>
        <w:pStyle w:val="FAMContinuation2"/>
      </w:pPr>
      <w:r w:rsidRPr="000A7FD1">
        <w:t>When information system processing is used</w:t>
      </w:r>
      <w:r w:rsidR="00AB4548" w:rsidRPr="000A7FD1">
        <w:t>, access to assets frequently provides access to records. For example, generation of a check may automatically record a related accounting entry. In such circumstances, a lack of asset access controls would result in inadequate segregation of duties, and the auditor should determine whether other controls would mitigate the effects of this lack of asset access control.</w:t>
      </w:r>
    </w:p>
    <w:p w14:paraId="3B3B497A" w14:textId="09A7C5A9" w:rsidR="00087BBC" w:rsidRPr="000A7FD1" w:rsidRDefault="00594366" w:rsidP="003F34DF">
      <w:pPr>
        <w:pStyle w:val="FAMHeading4"/>
        <w:rPr>
          <w:bCs/>
          <w:sz w:val="24"/>
        </w:rPr>
      </w:pPr>
      <w:r w:rsidRPr="000A7FD1">
        <w:rPr>
          <w:bCs/>
          <w:sz w:val="24"/>
        </w:rPr>
        <w:t>Test IS Controls</w:t>
      </w:r>
    </w:p>
    <w:p w14:paraId="54F09A92" w14:textId="4EAFAE25" w:rsidR="00D61F4E" w:rsidRPr="000A7FD1" w:rsidRDefault="00D61F4E" w:rsidP="00D61F4E">
      <w:pPr>
        <w:pStyle w:val="FAMSubsection"/>
      </w:pPr>
      <w:r w:rsidRPr="000A7FD1">
        <w:t xml:space="preserve">As discussed in FAM 350, the auditor documents </w:t>
      </w:r>
      <w:r w:rsidR="008719AE" w:rsidRPr="000A7FD1">
        <w:t xml:space="preserve">relevant </w:t>
      </w:r>
      <w:r w:rsidRPr="000A7FD1">
        <w:t>control activities in the SCE worksheet or equivalent. For each control activity in the SCE</w:t>
      </w:r>
      <w:r w:rsidR="004818B8" w:rsidRPr="000A7FD1">
        <w:t xml:space="preserve"> worksheet</w:t>
      </w:r>
      <w:r w:rsidRPr="000A7FD1">
        <w:t xml:space="preserve">, the auditor should indicate whether it is an IS control. As discussed in FAM 270, such controls are often application and user controls. FAM 295 F provides details on the three types of IS controls—general controls, application controls, and user controls. </w:t>
      </w:r>
      <w:r w:rsidR="006C120C" w:rsidRPr="000A7FD1">
        <w:t>T</w:t>
      </w:r>
      <w:r w:rsidRPr="000A7FD1">
        <w:t>he effectiveness of user controls typically depends on information system processing or the reliability of information</w:t>
      </w:r>
      <w:r w:rsidR="006C120C" w:rsidRPr="000A7FD1">
        <w:t xml:space="preserve"> it </w:t>
      </w:r>
      <w:r w:rsidRPr="000A7FD1">
        <w:t>produce</w:t>
      </w:r>
      <w:r w:rsidR="006C120C" w:rsidRPr="000A7FD1">
        <w:t>s</w:t>
      </w:r>
      <w:r w:rsidRPr="000A7FD1">
        <w:t>.</w:t>
      </w:r>
    </w:p>
    <w:p w14:paraId="03BA6BC0" w14:textId="35AD0081" w:rsidR="00B912DF" w:rsidRPr="000A7FD1" w:rsidRDefault="00B912DF" w:rsidP="00D61F4E">
      <w:pPr>
        <w:pStyle w:val="FAMSubsection"/>
        <w:numPr>
          <w:ilvl w:val="0"/>
          <w:numId w:val="0"/>
        </w:numPr>
        <w:ind w:left="1440"/>
      </w:pPr>
      <w:r w:rsidRPr="000A7FD1">
        <w:t xml:space="preserve">The auditor should also identify </w:t>
      </w:r>
      <w:r w:rsidR="00035011" w:rsidRPr="000A7FD1">
        <w:t xml:space="preserve">and understand the design of </w:t>
      </w:r>
      <w:r w:rsidRPr="000A7FD1">
        <w:t xml:space="preserve">other IS </w:t>
      </w:r>
      <w:r w:rsidR="00035011" w:rsidRPr="000A7FD1">
        <w:t xml:space="preserve">application and general </w:t>
      </w:r>
      <w:r w:rsidRPr="000A7FD1">
        <w:t xml:space="preserve">controls on which the effectiveness of the IS controls </w:t>
      </w:r>
      <w:r w:rsidR="00035011" w:rsidRPr="000A7FD1">
        <w:t>i</w:t>
      </w:r>
      <w:r w:rsidRPr="000A7FD1">
        <w:t xml:space="preserve">n the SCE </w:t>
      </w:r>
      <w:r w:rsidR="00501D9F" w:rsidRPr="000A7FD1">
        <w:t xml:space="preserve">worksheet </w:t>
      </w:r>
      <w:r w:rsidRPr="000A7FD1">
        <w:t xml:space="preserve">depends. </w:t>
      </w:r>
      <w:r w:rsidR="00336237" w:rsidRPr="000A7FD1">
        <w:t>As the auditor learns more about the design</w:t>
      </w:r>
      <w:r w:rsidR="00441D20" w:rsidRPr="000A7FD1">
        <w:t xml:space="preserve"> and implementation</w:t>
      </w:r>
      <w:r w:rsidR="00336237" w:rsidRPr="000A7FD1">
        <w:t xml:space="preserve"> of </w:t>
      </w:r>
      <w:r w:rsidR="006C120C" w:rsidRPr="000A7FD1">
        <w:t>IS controls</w:t>
      </w:r>
      <w:r w:rsidR="00441D20" w:rsidRPr="000A7FD1">
        <w:t xml:space="preserve"> and</w:t>
      </w:r>
      <w:r w:rsidR="00336237" w:rsidRPr="000A7FD1">
        <w:t xml:space="preserve"> identifies </w:t>
      </w:r>
      <w:r w:rsidR="006C120C" w:rsidRPr="000A7FD1">
        <w:t>those</w:t>
      </w:r>
      <w:r w:rsidR="00336237" w:rsidRPr="000A7FD1">
        <w:t xml:space="preserve"> that are likely to achieve control objectives, the auditor may identify other general controls that help ensure the</w:t>
      </w:r>
      <w:r w:rsidR="006C120C" w:rsidRPr="000A7FD1">
        <w:t>ir</w:t>
      </w:r>
      <w:r w:rsidR="00336237" w:rsidRPr="000A7FD1">
        <w:t xml:space="preserve"> </w:t>
      </w:r>
      <w:r w:rsidR="00CE37E3" w:rsidRPr="000A7FD1">
        <w:t>effective</w:t>
      </w:r>
      <w:r w:rsidR="00336237" w:rsidRPr="000A7FD1">
        <w:t xml:space="preserve"> operation. As </w:t>
      </w:r>
      <w:r w:rsidR="006C120C" w:rsidRPr="000A7FD1">
        <w:t>such</w:t>
      </w:r>
      <w:r w:rsidR="00336237" w:rsidRPr="000A7FD1">
        <w:t>, t</w:t>
      </w:r>
      <w:r w:rsidRPr="000A7FD1">
        <w:t>he general controls identified during the internal control phase may differ from those identified during the planning phase</w:t>
      </w:r>
      <w:r w:rsidR="00035011" w:rsidRPr="000A7FD1">
        <w:t xml:space="preserve"> (see FAM 270)</w:t>
      </w:r>
      <w:r w:rsidRPr="000A7FD1">
        <w:t>.</w:t>
      </w:r>
    </w:p>
    <w:p w14:paraId="6CF52987" w14:textId="29036EE5" w:rsidR="00C44F94" w:rsidRPr="000A7FD1" w:rsidRDefault="00B20468" w:rsidP="00B20468">
      <w:pPr>
        <w:pStyle w:val="FAMSubsection"/>
        <w:numPr>
          <w:ilvl w:val="0"/>
          <w:numId w:val="0"/>
        </w:numPr>
        <w:ind w:left="1440"/>
      </w:pPr>
      <w:r w:rsidRPr="000A7FD1">
        <w:t xml:space="preserve">The auditor should identify and test the general controls and application controls on which the effectiveness of each IS control </w:t>
      </w:r>
      <w:r w:rsidR="009C6EC8" w:rsidRPr="000A7FD1">
        <w:t>i</w:t>
      </w:r>
      <w:r w:rsidRPr="000A7FD1">
        <w:t xml:space="preserve">n the SCE worksheet depends. For example, if the IS control is the review of an exception report, the auditor </w:t>
      </w:r>
      <w:r w:rsidR="000E78D2" w:rsidRPr="000A7FD1">
        <w:t>w</w:t>
      </w:r>
      <w:r w:rsidRPr="000A7FD1">
        <w:t xml:space="preserve">ould identify and test the application controls directly related to the production of the exception report, as well as the general and other application controls on which the reliability of the information in the exception report depends. This testing would include controls over the design and proper functioning of the business processes that generate the exception report and the reliability of the data used </w:t>
      </w:r>
      <w:r w:rsidRPr="000A7FD1">
        <w:lastRenderedPageBreak/>
        <w:t xml:space="preserve">to generate the exception report. In addition, the auditor </w:t>
      </w:r>
      <w:r w:rsidR="000E78D2" w:rsidRPr="000A7FD1">
        <w:t>w</w:t>
      </w:r>
      <w:r w:rsidRPr="000A7FD1">
        <w:t xml:space="preserve">ould test the effectiveness of the user control (i.e., management review and follow-up on the items in the exception report). </w:t>
      </w:r>
      <w:r w:rsidR="00C902EE" w:rsidRPr="000A7FD1">
        <w:rPr>
          <w:szCs w:val="22"/>
        </w:rPr>
        <w:t xml:space="preserve"> </w:t>
      </w:r>
    </w:p>
    <w:p w14:paraId="653D15F3" w14:textId="701359D3" w:rsidR="00093936" w:rsidRPr="000A7FD1" w:rsidRDefault="00D3110F" w:rsidP="00B14E40">
      <w:pPr>
        <w:pStyle w:val="FAM-Continuation1"/>
      </w:pPr>
      <w:r w:rsidRPr="000A7FD1">
        <w:t>As discussed in FAM 35</w:t>
      </w:r>
      <w:r w:rsidR="00410EB4" w:rsidRPr="000A7FD1">
        <w:t>0.0</w:t>
      </w:r>
      <w:r w:rsidR="00FB3FD0" w:rsidRPr="000A7FD1">
        <w:t>4</w:t>
      </w:r>
      <w:r w:rsidR="00B14E40" w:rsidRPr="000A7FD1">
        <w:t xml:space="preserve">, the auditor generally should </w:t>
      </w:r>
      <w:r w:rsidR="003B3A6F" w:rsidRPr="000A7FD1">
        <w:t>test only</w:t>
      </w:r>
      <w:r w:rsidR="00B14E40" w:rsidRPr="000A7FD1">
        <w:t xml:space="preserve"> the control activities necessary to achieve the objective</w:t>
      </w:r>
      <w:r w:rsidR="009C6EC8" w:rsidRPr="000A7FD1">
        <w:t xml:space="preserve"> and </w:t>
      </w:r>
      <w:r w:rsidR="003D42F9" w:rsidRPr="000A7FD1">
        <w:t xml:space="preserve">that </w:t>
      </w:r>
      <w:r w:rsidR="009C6EC8" w:rsidRPr="000A7FD1">
        <w:t xml:space="preserve">are efficient to test, </w:t>
      </w:r>
      <w:r w:rsidR="00B14E40" w:rsidRPr="000A7FD1">
        <w:t>considering such factors as control dependencies, particularly for IS controls. A control dependency exists when the effectiveness of an internal control depend</w:t>
      </w:r>
      <w:r w:rsidR="00452380" w:rsidRPr="000A7FD1">
        <w:t>s</w:t>
      </w:r>
      <w:r w:rsidR="00B14E40" w:rsidRPr="000A7FD1">
        <w:t xml:space="preserve"> on the effectiveness of other internal controls. </w:t>
      </w:r>
      <w:r w:rsidR="00405736" w:rsidRPr="000A7FD1">
        <w:t xml:space="preserve">For example, when a dependency on information system processing exists, a control activity cannot reasonably be expected to achieve a specific control objective without effective information system processing—either in the performance of the control activity or in the production of information used in the performance of the control activity. </w:t>
      </w:r>
    </w:p>
    <w:p w14:paraId="0B12D471" w14:textId="5ECEB793" w:rsidR="000E78D2" w:rsidRPr="000A7FD1" w:rsidRDefault="000913DD" w:rsidP="00B14E40">
      <w:pPr>
        <w:pStyle w:val="FAM-Continuation1"/>
      </w:pPr>
      <w:r w:rsidRPr="000A7FD1">
        <w:t xml:space="preserve">The auditor should document conclusions on the effectiveness of IS controls during the audit period. </w:t>
      </w:r>
      <w:r w:rsidR="00093936" w:rsidRPr="000A7FD1">
        <w:t>Because of</w:t>
      </w:r>
      <w:r w:rsidRPr="000A7FD1">
        <w:t xml:space="preserve"> the technical nature of many IS controls, the auditor generally should obtain assistance from an IS controls auditor in understanding the entity’s use of information system </w:t>
      </w:r>
      <w:r w:rsidR="008E56C0" w:rsidRPr="000A7FD1">
        <w:t xml:space="preserve">processing </w:t>
      </w:r>
      <w:r w:rsidRPr="000A7FD1">
        <w:t xml:space="preserve">and </w:t>
      </w:r>
      <w:r w:rsidR="001C6A7C" w:rsidRPr="000A7FD1">
        <w:t xml:space="preserve">in </w:t>
      </w:r>
      <w:r w:rsidRPr="000A7FD1">
        <w:t>planning, directing, or performing audit procedures related to assessing IS controls</w:t>
      </w:r>
      <w:r w:rsidR="000E78D2" w:rsidRPr="000A7FD1">
        <w:rPr>
          <w:szCs w:val="22"/>
        </w:rPr>
        <w:t xml:space="preserve">. Additionally, an information technology specialist may assist the auditor in understanding technical aspects of information system </w:t>
      </w:r>
      <w:r w:rsidR="008E56C0" w:rsidRPr="000A7FD1">
        <w:rPr>
          <w:szCs w:val="22"/>
        </w:rPr>
        <w:t xml:space="preserve">processing </w:t>
      </w:r>
      <w:r w:rsidR="000E78D2" w:rsidRPr="000A7FD1">
        <w:rPr>
          <w:szCs w:val="22"/>
        </w:rPr>
        <w:t>and IS controls.</w:t>
      </w:r>
    </w:p>
    <w:p w14:paraId="03713378" w14:textId="309E7D5D" w:rsidR="00C80404" w:rsidRPr="000A7FD1" w:rsidRDefault="00C80404" w:rsidP="004A102E">
      <w:pPr>
        <w:pStyle w:val="FAMSubsection"/>
      </w:pPr>
      <w:r w:rsidRPr="000A7FD1">
        <w:t xml:space="preserve">If the auditor identifies IS controls </w:t>
      </w:r>
      <w:r w:rsidR="00B14E40" w:rsidRPr="000A7FD1">
        <w:t>on the SCE</w:t>
      </w:r>
      <w:r w:rsidR="004818B8" w:rsidRPr="000A7FD1">
        <w:t xml:space="preserve"> worksheet</w:t>
      </w:r>
      <w:r w:rsidRPr="000A7FD1">
        <w:t>, the auditor</w:t>
      </w:r>
      <w:r w:rsidR="006B2E21" w:rsidRPr="000A7FD1">
        <w:t xml:space="preserve"> </w:t>
      </w:r>
      <w:r w:rsidRPr="000A7FD1">
        <w:t>should evaluate the effectiveness of</w:t>
      </w:r>
      <w:r w:rsidR="00B14E40" w:rsidRPr="000A7FD1">
        <w:t xml:space="preserve"> related</w:t>
      </w:r>
    </w:p>
    <w:p w14:paraId="28D0304D" w14:textId="77777777" w:rsidR="00C80404" w:rsidRPr="000A7FD1" w:rsidRDefault="00C80404" w:rsidP="000D1813">
      <w:pPr>
        <w:pStyle w:val="FAM-Bullet-1"/>
        <w:numPr>
          <w:ilvl w:val="0"/>
          <w:numId w:val="54"/>
        </w:numPr>
        <w:ind w:left="1800"/>
      </w:pPr>
      <w:r w:rsidRPr="000A7FD1">
        <w:t>general controls at the entity</w:t>
      </w:r>
      <w:r w:rsidR="003B6656" w:rsidRPr="000A7FD1">
        <w:t>-</w:t>
      </w:r>
      <w:r w:rsidRPr="000A7FD1">
        <w:t>wide and system levels;</w:t>
      </w:r>
    </w:p>
    <w:p w14:paraId="55D9CC2B" w14:textId="77777777" w:rsidR="00C80404" w:rsidRPr="000A7FD1" w:rsidRDefault="00C80404" w:rsidP="000D1813">
      <w:pPr>
        <w:pStyle w:val="FAM-Bullet-1"/>
        <w:numPr>
          <w:ilvl w:val="0"/>
          <w:numId w:val="54"/>
        </w:numPr>
        <w:ind w:left="1800"/>
      </w:pPr>
      <w:r w:rsidRPr="000A7FD1">
        <w:t>general controls at the application level; and</w:t>
      </w:r>
    </w:p>
    <w:p w14:paraId="1F7A716E" w14:textId="3333CBEE" w:rsidR="00C80404" w:rsidRPr="000A7FD1" w:rsidRDefault="00C80404" w:rsidP="000D1813">
      <w:pPr>
        <w:pStyle w:val="FAM-Bullet-1"/>
        <w:numPr>
          <w:ilvl w:val="0"/>
          <w:numId w:val="54"/>
        </w:numPr>
        <w:ind w:left="1800"/>
      </w:pPr>
      <w:r w:rsidRPr="000A7FD1">
        <w:t xml:space="preserve">specific application </w:t>
      </w:r>
      <w:r w:rsidR="00B14E40" w:rsidRPr="000A7FD1">
        <w:t xml:space="preserve">controls, such as </w:t>
      </w:r>
      <w:r w:rsidRPr="000A7FD1">
        <w:t>business process</w:t>
      </w:r>
      <w:r w:rsidR="00B14E40" w:rsidRPr="000A7FD1">
        <w:t xml:space="preserve"> application</w:t>
      </w:r>
      <w:r w:rsidRPr="000A7FD1">
        <w:t xml:space="preserve"> controls, interface controls, data management system controls, and user controls, unless the IS controls that achieve the control objectives are general controls.</w:t>
      </w:r>
    </w:p>
    <w:p w14:paraId="375E3A57" w14:textId="59746A93" w:rsidR="00C80404" w:rsidRPr="000A7FD1" w:rsidRDefault="00C80404" w:rsidP="00BE2742">
      <w:pPr>
        <w:pStyle w:val="FAM-Continuation1"/>
      </w:pPr>
      <w:r w:rsidRPr="000A7FD1">
        <w:t xml:space="preserve">If controls are not effective, see FAM </w:t>
      </w:r>
      <w:r w:rsidR="00BB1ED8" w:rsidRPr="000A7FD1">
        <w:t>350.0</w:t>
      </w:r>
      <w:r w:rsidR="00D5014C" w:rsidRPr="000A7FD1">
        <w:t>6</w:t>
      </w:r>
      <w:r w:rsidRPr="000A7FD1">
        <w:t>.</w:t>
      </w:r>
    </w:p>
    <w:p w14:paraId="34F0E9FB" w14:textId="66BC08E8" w:rsidR="00C80404" w:rsidRPr="000A7FD1" w:rsidRDefault="00C80404" w:rsidP="004A102E">
      <w:pPr>
        <w:pStyle w:val="FAMSubsection"/>
      </w:pPr>
      <w:r w:rsidRPr="000A7FD1">
        <w:t>The auditor</w:t>
      </w:r>
      <w:r w:rsidR="00E27109" w:rsidRPr="000A7FD1">
        <w:t xml:space="preserve"> </w:t>
      </w:r>
      <w:r w:rsidRPr="000A7FD1">
        <w:t>should determine whether entity</w:t>
      </w:r>
      <w:r w:rsidR="003B6656" w:rsidRPr="000A7FD1">
        <w:t>-</w:t>
      </w:r>
      <w:r w:rsidRPr="000A7FD1">
        <w:t xml:space="preserve">wide and system-level general controls are designed, </w:t>
      </w:r>
      <w:r w:rsidR="00241AB4" w:rsidRPr="000A7FD1">
        <w:t>implemented</w:t>
      </w:r>
      <w:r w:rsidRPr="000A7FD1">
        <w:t>, and operating effectively by</w:t>
      </w:r>
    </w:p>
    <w:p w14:paraId="194D1BE0" w14:textId="77777777" w:rsidR="00C80404" w:rsidRPr="000A7FD1" w:rsidRDefault="00C80404" w:rsidP="000D1813">
      <w:pPr>
        <w:pStyle w:val="FAM-Bullet-1"/>
        <w:numPr>
          <w:ilvl w:val="0"/>
          <w:numId w:val="55"/>
        </w:numPr>
        <w:ind w:left="1800"/>
      </w:pPr>
      <w:r w:rsidRPr="000A7FD1">
        <w:t>identifying applicable general controls;</w:t>
      </w:r>
    </w:p>
    <w:p w14:paraId="3E33241C" w14:textId="77777777" w:rsidR="00C80404" w:rsidRPr="000A7FD1" w:rsidRDefault="00C80404" w:rsidP="000D1813">
      <w:pPr>
        <w:pStyle w:val="FAM-Bullet-1"/>
        <w:numPr>
          <w:ilvl w:val="0"/>
          <w:numId w:val="55"/>
        </w:numPr>
        <w:ind w:left="1800"/>
      </w:pPr>
      <w:r w:rsidRPr="000A7FD1">
        <w:t xml:space="preserve">determining how those controls function, and whether they have been </w:t>
      </w:r>
      <w:r w:rsidR="00241AB4" w:rsidRPr="000A7FD1">
        <w:t>implemented</w:t>
      </w:r>
      <w:r w:rsidRPr="000A7FD1">
        <w:t>; and</w:t>
      </w:r>
    </w:p>
    <w:p w14:paraId="4AFD27CE" w14:textId="77777777" w:rsidR="00C80404" w:rsidRPr="000A7FD1" w:rsidRDefault="00C80404" w:rsidP="000D1813">
      <w:pPr>
        <w:pStyle w:val="FAM-Bullet-1"/>
        <w:numPr>
          <w:ilvl w:val="0"/>
          <w:numId w:val="55"/>
        </w:numPr>
        <w:ind w:left="1800"/>
      </w:pPr>
      <w:r w:rsidRPr="000A7FD1">
        <w:t>evaluating and testing the effectiveness of the identified controls.</w:t>
      </w:r>
    </w:p>
    <w:p w14:paraId="6CECD74F" w14:textId="580B8C1D" w:rsidR="00C80404" w:rsidRPr="000A7FD1" w:rsidRDefault="00C80404" w:rsidP="004A102E">
      <w:pPr>
        <w:pStyle w:val="FAM-Continuation1"/>
      </w:pPr>
      <w:r w:rsidRPr="000A7FD1">
        <w:t xml:space="preserve">The auditor generally should use knowledge obtained in the planning phase. The auditor should document the understanding of general controls and should conclude </w:t>
      </w:r>
      <w:r w:rsidR="00720956" w:rsidRPr="000A7FD1">
        <w:t xml:space="preserve">on </w:t>
      </w:r>
      <w:r w:rsidRPr="000A7FD1">
        <w:t xml:space="preserve">whether such controls </w:t>
      </w:r>
      <w:r w:rsidR="00720956" w:rsidRPr="000A7FD1">
        <w:t>are</w:t>
      </w:r>
      <w:r w:rsidRPr="000A7FD1">
        <w:t xml:space="preserve"> designed</w:t>
      </w:r>
      <w:r w:rsidR="00720956" w:rsidRPr="000A7FD1">
        <w:t>,</w:t>
      </w:r>
      <w:r w:rsidR="00603BB4" w:rsidRPr="000A7FD1">
        <w:t xml:space="preserve"> </w:t>
      </w:r>
      <w:r w:rsidR="00241AB4" w:rsidRPr="000A7FD1">
        <w:t>implemented</w:t>
      </w:r>
      <w:r w:rsidR="00720956" w:rsidRPr="000A7FD1">
        <w:t>, and operating effectively.</w:t>
      </w:r>
    </w:p>
    <w:p w14:paraId="4ADA19EE" w14:textId="49E76C89" w:rsidR="00953F66" w:rsidRPr="000A7FD1" w:rsidRDefault="00953F66" w:rsidP="009420B5">
      <w:pPr>
        <w:pStyle w:val="FAMHeading5"/>
      </w:pPr>
      <w:r w:rsidRPr="000A7FD1">
        <w:t>Test</w:t>
      </w:r>
      <w:r w:rsidR="006C43BE" w:rsidRPr="000A7FD1">
        <w:t xml:space="preserve"> </w:t>
      </w:r>
      <w:r w:rsidRPr="000A7FD1">
        <w:t>General Controls at the Entity-Wide and System Levels</w:t>
      </w:r>
    </w:p>
    <w:p w14:paraId="6B9AC8D2" w14:textId="33CB4733" w:rsidR="00C80404" w:rsidRPr="000A7FD1" w:rsidRDefault="00C80404" w:rsidP="004A102E">
      <w:pPr>
        <w:pStyle w:val="FAMSubsection"/>
      </w:pPr>
      <w:r w:rsidRPr="000A7FD1">
        <w:t xml:space="preserve">The auditor may test general controls through a combination of procedures, including observation, inquiry, </w:t>
      </w:r>
      <w:r w:rsidR="005813F8" w:rsidRPr="000A7FD1">
        <w:t xml:space="preserve">or </w:t>
      </w:r>
      <w:r w:rsidRPr="000A7FD1">
        <w:t>inspection (which includes a review of documentation on systems and procedures</w:t>
      </w:r>
      <w:r w:rsidR="007457DB" w:rsidRPr="000A7FD1">
        <w:t xml:space="preserve"> and may include reperformance</w:t>
      </w:r>
      <w:r w:rsidRPr="000A7FD1">
        <w:t xml:space="preserve">) using appropriate test software. Although </w:t>
      </w:r>
      <w:r w:rsidR="00424D3E" w:rsidRPr="000A7FD1">
        <w:t xml:space="preserve">statistical </w:t>
      </w:r>
      <w:r w:rsidRPr="000A7FD1">
        <w:t xml:space="preserve">sampling is generally not </w:t>
      </w:r>
      <w:r w:rsidRPr="000A7FD1">
        <w:lastRenderedPageBreak/>
        <w:t xml:space="preserve">used to test general controls, the auditor may use </w:t>
      </w:r>
      <w:r w:rsidR="00424D3E" w:rsidRPr="000A7FD1">
        <w:t>statistical</w:t>
      </w:r>
      <w:r w:rsidR="00160F86" w:rsidRPr="000A7FD1">
        <w:t xml:space="preserve"> </w:t>
      </w:r>
      <w:r w:rsidRPr="000A7FD1">
        <w:t>sampling to test certain controls, such as those involving approvals.</w:t>
      </w:r>
    </w:p>
    <w:p w14:paraId="2C170465" w14:textId="51BD8CED" w:rsidR="00C80404" w:rsidRPr="000A7FD1" w:rsidRDefault="00C80404" w:rsidP="004A102E">
      <w:pPr>
        <w:pStyle w:val="FAM-Subsection"/>
      </w:pPr>
      <w:r w:rsidRPr="000A7FD1">
        <w:t xml:space="preserve">If general controls are not </w:t>
      </w:r>
      <w:r w:rsidR="00E61E23" w:rsidRPr="000A7FD1">
        <w:t>designed, implemented, or operating effectively</w:t>
      </w:r>
      <w:r w:rsidRPr="000A7FD1">
        <w:t>, the auditor will generally be unable to obtain satisfaction that application controls are effective.</w:t>
      </w:r>
      <w:r w:rsidR="008170FC" w:rsidRPr="000A7FD1">
        <w:rPr>
          <w:rStyle w:val="FootnoteReference"/>
        </w:rPr>
        <w:footnoteReference w:id="8"/>
      </w:r>
      <w:r w:rsidRPr="000A7FD1">
        <w:t xml:space="preserve"> In such instances, the auditor should (1) determine and document the nature and extent of risks resulting from ineffective general controls, (2) identify and test any manual controls that achieve the control objectives that the IS controls in the SCE </w:t>
      </w:r>
      <w:r w:rsidR="005C17A8" w:rsidRPr="000A7FD1">
        <w:t>worksheet</w:t>
      </w:r>
      <w:r w:rsidR="00C24B0D" w:rsidRPr="000A7FD1">
        <w:t xml:space="preserve"> </w:t>
      </w:r>
      <w:r w:rsidRPr="000A7FD1">
        <w:t>or equivalent document were unable to achieve, and (3) see FAM 580 for classifying and reporting control deficiencies.</w:t>
      </w:r>
      <w:r w:rsidR="00713125" w:rsidRPr="000A7FD1">
        <w:t xml:space="preserve"> </w:t>
      </w:r>
    </w:p>
    <w:p w14:paraId="0A1063F2" w14:textId="2A842D4A" w:rsidR="00C80404" w:rsidRPr="000A7FD1" w:rsidRDefault="00C80404" w:rsidP="004A102E">
      <w:pPr>
        <w:pStyle w:val="FAM-Continuation1"/>
      </w:pPr>
      <w:r w:rsidRPr="000A7FD1">
        <w:t xml:space="preserve">If manual controls do not achieve the control objectives, the auditor should determine whether any specific IS controls are </w:t>
      </w:r>
      <w:r w:rsidRPr="000A7FD1">
        <w:rPr>
          <w:b/>
        </w:rPr>
        <w:t>designed</w:t>
      </w:r>
      <w:r w:rsidRPr="000A7FD1">
        <w:t xml:space="preserve"> to achieve the objectives. If not, the auditor should develop appropriate findings principally to provide recommendations to improve internal control. If specific IS controls are designed to achieve the objectives, but are in fact ineffective because of poor general controls, testing would typically not be necessary, except to support findings.</w:t>
      </w:r>
    </w:p>
    <w:p w14:paraId="58B0D7E6" w14:textId="6D1F7F84" w:rsidR="00953F66" w:rsidRPr="000A7FD1" w:rsidRDefault="00953F66" w:rsidP="009420B5">
      <w:pPr>
        <w:pStyle w:val="FAMHeading5"/>
      </w:pPr>
      <w:r w:rsidRPr="000A7FD1">
        <w:t>Test General Controls at the Application Level</w:t>
      </w:r>
    </w:p>
    <w:p w14:paraId="1F13D207" w14:textId="4BDD124A" w:rsidR="00C80404" w:rsidRPr="000A7FD1" w:rsidRDefault="00C80404" w:rsidP="004A102E">
      <w:pPr>
        <w:pStyle w:val="FAMSubsection"/>
      </w:pPr>
      <w:r w:rsidRPr="000A7FD1">
        <w:t>If the auditor reaches a favorable conclusion on general controls at the entity</w:t>
      </w:r>
      <w:r w:rsidR="00C24B0D" w:rsidRPr="000A7FD1">
        <w:t>-</w:t>
      </w:r>
      <w:r w:rsidRPr="000A7FD1">
        <w:t xml:space="preserve">wide and system levels, the </w:t>
      </w:r>
      <w:r w:rsidR="0091746B" w:rsidRPr="000A7FD1">
        <w:t xml:space="preserve">auditor </w:t>
      </w:r>
      <w:r w:rsidRPr="000A7FD1">
        <w:t xml:space="preserve">should evaluate and test the effectiveness of general controls for those </w:t>
      </w:r>
      <w:r w:rsidR="00887CBB" w:rsidRPr="000A7FD1">
        <w:t xml:space="preserve">software programs, or applications, </w:t>
      </w:r>
      <w:r w:rsidRPr="000A7FD1">
        <w:t>within which application controls or user controls are to be tested.</w:t>
      </w:r>
      <w:r w:rsidR="00D611CC" w:rsidRPr="000A7FD1">
        <w:t xml:space="preserve"> </w:t>
      </w:r>
      <w:r w:rsidR="00B376B3" w:rsidRPr="000A7FD1">
        <w:t>Because of</w:t>
      </w:r>
      <w:r w:rsidR="00D611CC" w:rsidRPr="000A7FD1">
        <w:t xml:space="preserve"> the technical nature of many IS controls, the auditor generally should obtain assistance from an IS controls auditor in assessing these controls. </w:t>
      </w:r>
    </w:p>
    <w:p w14:paraId="566D0C31" w14:textId="7B137E17" w:rsidR="00C80404" w:rsidRPr="000A7FD1" w:rsidRDefault="00C80404" w:rsidP="004A102E">
      <w:pPr>
        <w:pStyle w:val="FAM-Subsection"/>
      </w:pPr>
      <w:r w:rsidRPr="000A7FD1">
        <w:t>If general controls are not operating effectively within the application, application controls and user controls generally will be ineffective.</w:t>
      </w:r>
      <w:r w:rsidR="008170FC" w:rsidRPr="000A7FD1">
        <w:rPr>
          <w:rStyle w:val="FootnoteReference"/>
        </w:rPr>
        <w:footnoteReference w:id="9"/>
      </w:r>
      <w:r w:rsidRPr="000A7FD1">
        <w:t xml:space="preserve"> In such instances, the </w:t>
      </w:r>
      <w:r w:rsidR="00407402" w:rsidRPr="000A7FD1">
        <w:t>engagement</w:t>
      </w:r>
      <w:r w:rsidR="00D611CC" w:rsidRPr="000A7FD1">
        <w:t xml:space="preserve"> team</w:t>
      </w:r>
      <w:r w:rsidR="0091746B" w:rsidRPr="000A7FD1">
        <w:t xml:space="preserve"> </w:t>
      </w:r>
      <w:r w:rsidRPr="000A7FD1">
        <w:t>should discuss the nature and extent of risks resulting from ineffective general controls. The auditor should determine whether to proceed with the evaluation of application controls and user controls.</w:t>
      </w:r>
    </w:p>
    <w:p w14:paraId="04FCB32E" w14:textId="07A43A47" w:rsidR="00953F66" w:rsidRPr="000A7FD1" w:rsidRDefault="00953F66" w:rsidP="009420B5">
      <w:pPr>
        <w:pStyle w:val="FAMHeading5"/>
      </w:pPr>
      <w:r w:rsidRPr="000A7FD1">
        <w:t>Test Application Controls and User Controls</w:t>
      </w:r>
    </w:p>
    <w:p w14:paraId="428C1AA1" w14:textId="00B58B4B" w:rsidR="00C80404" w:rsidRPr="000A7FD1" w:rsidRDefault="00C80404" w:rsidP="004A102E">
      <w:pPr>
        <w:pStyle w:val="FAMSubsection"/>
      </w:pPr>
      <w:r w:rsidRPr="000A7FD1">
        <w:t xml:space="preserve">The auditor, </w:t>
      </w:r>
      <w:r w:rsidR="00294B19" w:rsidRPr="000A7FD1">
        <w:t xml:space="preserve">generally </w:t>
      </w:r>
      <w:r w:rsidRPr="000A7FD1">
        <w:t xml:space="preserve">with IS controls </w:t>
      </w:r>
      <w:r w:rsidR="0091746B" w:rsidRPr="000A7FD1">
        <w:t xml:space="preserve">auditor </w:t>
      </w:r>
      <w:r w:rsidRPr="000A7FD1">
        <w:t>assistance, should perform tests of those application controls and user controls necessary to achieve the control objectives where the entity</w:t>
      </w:r>
      <w:r w:rsidR="003B6656" w:rsidRPr="000A7FD1">
        <w:t>-</w:t>
      </w:r>
      <w:r w:rsidRPr="000A7FD1">
        <w:t>wide, system, and application-level general controls were determined to be effective.</w:t>
      </w:r>
    </w:p>
    <w:p w14:paraId="075F1E05" w14:textId="15C8343B" w:rsidR="00E2544A" w:rsidRPr="000A7FD1" w:rsidRDefault="0076798B" w:rsidP="00E2544A">
      <w:pPr>
        <w:pStyle w:val="StyleHeading3FAM"/>
      </w:pPr>
      <w:r w:rsidRPr="000A7FD1">
        <w:t xml:space="preserve">Perform </w:t>
      </w:r>
      <w:r w:rsidR="00E2544A" w:rsidRPr="000A7FD1">
        <w:t>Test</w:t>
      </w:r>
      <w:r w:rsidRPr="000A7FD1">
        <w:t>s of</w:t>
      </w:r>
      <w:r w:rsidR="00E2544A" w:rsidRPr="000A7FD1">
        <w:t xml:space="preserve"> the Components of Internal Control </w:t>
      </w:r>
    </w:p>
    <w:p w14:paraId="13E4F402" w14:textId="1E220D38" w:rsidR="009D53C6" w:rsidRPr="000A7FD1" w:rsidRDefault="00647F8C" w:rsidP="009D53C6">
      <w:pPr>
        <w:pStyle w:val="FAMSubsection"/>
      </w:pPr>
      <w:r w:rsidRPr="000A7FD1">
        <w:t xml:space="preserve">Based on AU-C 940.22, </w:t>
      </w:r>
      <w:r w:rsidR="00DB671A" w:rsidRPr="000A7FD1">
        <w:t>the auditor should test the operating effectiveness of</w:t>
      </w:r>
      <w:r w:rsidR="009D53C6" w:rsidRPr="000A7FD1">
        <w:t xml:space="preserve"> entity-level controls</w:t>
      </w:r>
      <w:r w:rsidR="002B17F4" w:rsidRPr="000A7FD1">
        <w:t xml:space="preserve"> </w:t>
      </w:r>
      <w:r w:rsidR="00827ACD" w:rsidRPr="000A7FD1">
        <w:t>related to</w:t>
      </w:r>
      <w:r w:rsidR="002B17F4" w:rsidRPr="000A7FD1">
        <w:t xml:space="preserve"> the control environment, entity risk assessment, information and communication, and monitoring components </w:t>
      </w:r>
      <w:r w:rsidR="009D53C6" w:rsidRPr="000A7FD1">
        <w:t>that are important to the auditor’s conclusion about whether the</w:t>
      </w:r>
      <w:r w:rsidR="00827ACD" w:rsidRPr="000A7FD1">
        <w:t>se</w:t>
      </w:r>
      <w:r w:rsidR="009D53C6" w:rsidRPr="000A7FD1">
        <w:t xml:space="preserve"> </w:t>
      </w:r>
      <w:r w:rsidR="00827ACD" w:rsidRPr="000A7FD1">
        <w:t xml:space="preserve">components are operating effectively to support </w:t>
      </w:r>
      <w:r w:rsidR="009D53C6" w:rsidRPr="000A7FD1">
        <w:t xml:space="preserve">effective internal control over financial reporting. </w:t>
      </w:r>
      <w:r w:rsidR="00E2544A" w:rsidRPr="000A7FD1">
        <w:t>Per AU-C 940.A3</w:t>
      </w:r>
      <w:r w:rsidR="0074298B" w:rsidRPr="000A7FD1">
        <w:t>5</w:t>
      </w:r>
      <w:r w:rsidR="00E2544A" w:rsidRPr="000A7FD1">
        <w:t xml:space="preserve">, the auditor’s evaluation of entity-level controls can result in increasing </w:t>
      </w:r>
      <w:r w:rsidR="00E2544A" w:rsidRPr="000A7FD1">
        <w:lastRenderedPageBreak/>
        <w:t xml:space="preserve">or decreasing the testing that the auditor otherwise would have performed on other controls. </w:t>
      </w:r>
    </w:p>
    <w:p w14:paraId="6C585DC2" w14:textId="78DFEB65" w:rsidR="00272FA7" w:rsidRPr="000A7FD1" w:rsidRDefault="009D53C6" w:rsidP="00272FA7">
      <w:pPr>
        <w:pStyle w:val="FAMSubsection"/>
        <w:numPr>
          <w:ilvl w:val="0"/>
          <w:numId w:val="0"/>
        </w:numPr>
        <w:ind w:left="1440"/>
      </w:pPr>
      <w:r w:rsidRPr="000A7FD1">
        <w:t xml:space="preserve">In the planning phase, the auditor assessed the design and implementation of the control environment, entity risk assessment, </w:t>
      </w:r>
      <w:r w:rsidR="00D77688" w:rsidRPr="000A7FD1">
        <w:t xml:space="preserve">information and </w:t>
      </w:r>
      <w:r w:rsidRPr="000A7FD1">
        <w:t>communication</w:t>
      </w:r>
      <w:r w:rsidR="00A926FD" w:rsidRPr="000A7FD1">
        <w:t>, and monitoring</w:t>
      </w:r>
      <w:r w:rsidRPr="000A7FD1">
        <w:t xml:space="preserve"> components (FAM 260). In the internal control phase, the auditor should test the operating effectiveness of </w:t>
      </w:r>
      <w:r w:rsidR="00827ACD" w:rsidRPr="000A7FD1">
        <w:t xml:space="preserve">entity-level controls related to </w:t>
      </w:r>
      <w:r w:rsidRPr="000A7FD1">
        <w:t>these components</w:t>
      </w:r>
      <w:r w:rsidR="00272FA7" w:rsidRPr="000A7FD1">
        <w:t>,</w:t>
      </w:r>
      <w:r w:rsidRPr="000A7FD1">
        <w:t xml:space="preserve"> generally by a combination of observation, inquiry, and inspection (see FAM 350.</w:t>
      </w:r>
      <w:r w:rsidR="00BB1ED8" w:rsidRPr="000A7FD1">
        <w:t>13</w:t>
      </w:r>
      <w:r w:rsidR="000F053C" w:rsidRPr="000A7FD1">
        <w:t>–</w:t>
      </w:r>
      <w:r w:rsidRPr="000A7FD1">
        <w:t>.</w:t>
      </w:r>
      <w:r w:rsidR="00BB1ED8" w:rsidRPr="000A7FD1">
        <w:t>20</w:t>
      </w:r>
      <w:r w:rsidRPr="000A7FD1">
        <w:t xml:space="preserve">). </w:t>
      </w:r>
      <w:bookmarkStart w:id="0" w:name="_Hlk169266048"/>
      <w:r w:rsidR="00A91B63" w:rsidRPr="000A7FD1">
        <w:t>Controls</w:t>
      </w:r>
      <w:r w:rsidR="00272FA7" w:rsidRPr="000A7FD1">
        <w:t xml:space="preserve"> within these four components that directly address risks of material misstatement at the assertion level are considered equivalent to control activities</w:t>
      </w:r>
      <w:r w:rsidR="00A91B63" w:rsidRPr="000A7FD1">
        <w:t xml:space="preserve"> in the FAM</w:t>
      </w:r>
      <w:r w:rsidR="00EA23D5" w:rsidRPr="000A7FD1">
        <w:t xml:space="preserve"> </w:t>
      </w:r>
      <w:r w:rsidR="00272FA7" w:rsidRPr="000A7FD1">
        <w:t>and should be included in the SCE worksheet (see AU-C 315.A</w:t>
      </w:r>
      <w:r w:rsidR="0002706C" w:rsidRPr="000A7FD1">
        <w:t>5</w:t>
      </w:r>
      <w:r w:rsidR="00272FA7" w:rsidRPr="000A7FD1">
        <w:t>).</w:t>
      </w:r>
    </w:p>
    <w:bookmarkEnd w:id="0"/>
    <w:p w14:paraId="1B4E3CA7" w14:textId="2D3DA3D5" w:rsidR="009D53C6" w:rsidRPr="000A7FD1" w:rsidRDefault="009D53C6" w:rsidP="009D53C6">
      <w:pPr>
        <w:pStyle w:val="FAMSubsection"/>
        <w:numPr>
          <w:ilvl w:val="0"/>
          <w:numId w:val="0"/>
        </w:numPr>
        <w:ind w:left="1440"/>
      </w:pPr>
      <w:r w:rsidRPr="000A7FD1">
        <w:t xml:space="preserve">The auditor’s assessment of the design and implementation of control activities and information systems (part of the information and communication component) </w:t>
      </w:r>
      <w:r w:rsidR="007B0B95" w:rsidRPr="000A7FD1">
        <w:t>is</w:t>
      </w:r>
      <w:r w:rsidRPr="000A7FD1">
        <w:t xml:space="preserve"> discussed in FAM </w:t>
      </w:r>
      <w:r w:rsidR="00FD7C00" w:rsidRPr="000A7FD1">
        <w:t xml:space="preserve">340, </w:t>
      </w:r>
      <w:r w:rsidRPr="000A7FD1">
        <w:t>350</w:t>
      </w:r>
      <w:r w:rsidR="00FD7C00" w:rsidRPr="000A7FD1">
        <w:t>,</w:t>
      </w:r>
      <w:r w:rsidRPr="000A7FD1">
        <w:t xml:space="preserve"> and 320, respectively. The auditor’s tests of operating effectiveness of control activities and information systems </w:t>
      </w:r>
      <w:r w:rsidR="000F053C" w:rsidRPr="000A7FD1">
        <w:t>are</w:t>
      </w:r>
      <w:r w:rsidRPr="000A7FD1">
        <w:t xml:space="preserve"> discussed in FAM 360.0</w:t>
      </w:r>
      <w:r w:rsidR="00286BF3" w:rsidRPr="000A7FD1">
        <w:t>6</w:t>
      </w:r>
      <w:r w:rsidRPr="000A7FD1">
        <w:t xml:space="preserve"> through 360.18.</w:t>
      </w:r>
      <w:r w:rsidRPr="000A7FD1">
        <w:rPr>
          <w:b/>
        </w:rPr>
        <w:t xml:space="preserve"> </w:t>
      </w:r>
      <w:r w:rsidRPr="000A7FD1">
        <w:t xml:space="preserve"> </w:t>
      </w:r>
    </w:p>
    <w:p w14:paraId="3672637E" w14:textId="1B74C9E8" w:rsidR="00CE647B" w:rsidRPr="000A7FD1" w:rsidRDefault="00CE647B" w:rsidP="00CE647B">
      <w:pPr>
        <w:pStyle w:val="StyleHeading3FAM"/>
      </w:pPr>
      <w:r w:rsidRPr="000A7FD1">
        <w:t>Evaluate the Results of Control Tests</w:t>
      </w:r>
    </w:p>
    <w:p w14:paraId="5D5FB143" w14:textId="3D0CE955" w:rsidR="00CE647B" w:rsidRPr="000A7FD1" w:rsidRDefault="00CE647B" w:rsidP="00CE647B">
      <w:pPr>
        <w:pStyle w:val="FAMSubsection"/>
      </w:pPr>
      <w:r w:rsidRPr="000A7FD1">
        <w:t>The auditor should investigate and understand the reasons for any deviations from controls noted during control tests completed through the internal control phase. The auditor may find, for example, that significant subpopulations were not subject to controls or that controls were not applied during a specific period during the year. In such instances, the auditor may determine whether controls are effective for at least some parts of the population. For example, an otherwise effective control may not have been applied effectively in 1 month because of personnel turnover. For all but that month, the auditor may assess controls as effective and reduce related substantive testing. For the 1 month that controls were not effective, the auditor may increase substantive testing, if these tests are sufficient to reduce detection risk. The auditor also should determine whether other controls achieve the related control objective(s). Additionally, the auditor should gather sufficient evidence to report the control deficiency, as discussed in FAM 580.</w:t>
      </w:r>
    </w:p>
    <w:p w14:paraId="738FE597" w14:textId="7AC1338D" w:rsidR="00263159" w:rsidRPr="000A7FD1" w:rsidRDefault="00872063" w:rsidP="00CE647B">
      <w:pPr>
        <w:pStyle w:val="FAMSubsection"/>
      </w:pPr>
      <w:r w:rsidRPr="000A7FD1">
        <w:t xml:space="preserve">The </w:t>
      </w:r>
      <w:r w:rsidR="006E6486" w:rsidRPr="000A7FD1">
        <w:t>auditor should evaluate whether the entity’s controls sufficiently address identified risks of material misstatement due to fraud and the risk of management override of other controls (AU-C 940.16). For example, the use of a lockbox (a control activity) may reduce the risk of material misstatement associated with the completeness of cash receipts.</w:t>
      </w:r>
    </w:p>
    <w:p w14:paraId="3B205080" w14:textId="3F02F3AD" w:rsidR="00CE647B" w:rsidRPr="000A7FD1" w:rsidRDefault="00CE647B" w:rsidP="00CE647B">
      <w:pPr>
        <w:pStyle w:val="FAMSubsection"/>
      </w:pPr>
      <w:r w:rsidRPr="000A7FD1">
        <w:t>The auditor should consider whether controls tested in the internal control phase and planned control tests in the testing phase (FAM 450) are likely to provide sufficient evidence about whether controls are operating</w:t>
      </w:r>
      <w:r w:rsidR="00904DDB" w:rsidRPr="000A7FD1">
        <w:t xml:space="preserve"> effectively</w:t>
      </w:r>
      <w:r w:rsidRPr="000A7FD1">
        <w:t xml:space="preserve">. For example, </w:t>
      </w:r>
      <w:r w:rsidR="008A3B4B" w:rsidRPr="000A7FD1">
        <w:t>p</w:t>
      </w:r>
      <w:r w:rsidRPr="000A7FD1">
        <w:t xml:space="preserve">erforming control tests that involve nonstatistical selection may provide sufficient evidence that a control is operating effectively for the items tested. However, since the auditor cannot project the results of nonstatistical selection to the population, the auditor should evaluate the results of the nonstatistical selection in conjunction with other sources of evidence to form an overall conclusion on the effectiveness of the controls tested. Other sources of evidence may include </w:t>
      </w:r>
    </w:p>
    <w:p w14:paraId="61BD0D53" w14:textId="77777777" w:rsidR="00CE647B" w:rsidRPr="000A7FD1" w:rsidRDefault="00CE647B" w:rsidP="000D1813">
      <w:pPr>
        <w:pStyle w:val="FAMSubsection"/>
        <w:numPr>
          <w:ilvl w:val="0"/>
          <w:numId w:val="35"/>
        </w:numPr>
        <w:ind w:left="1800"/>
      </w:pPr>
      <w:r w:rsidRPr="000A7FD1">
        <w:t>an understanding of the entity and its environment (FAM 220),</w:t>
      </w:r>
    </w:p>
    <w:p w14:paraId="2CB5064A" w14:textId="6F4B16D3" w:rsidR="00CE647B" w:rsidRPr="000A7FD1" w:rsidRDefault="00CE647B" w:rsidP="000D1813">
      <w:pPr>
        <w:pStyle w:val="FAMSubsection"/>
        <w:numPr>
          <w:ilvl w:val="0"/>
          <w:numId w:val="35"/>
        </w:numPr>
        <w:ind w:left="1800"/>
      </w:pPr>
      <w:r w:rsidRPr="000A7FD1">
        <w:lastRenderedPageBreak/>
        <w:t>inherent risk assessments (FAM 26</w:t>
      </w:r>
      <w:r w:rsidR="00916C5A" w:rsidRPr="000A7FD1">
        <w:t>5</w:t>
      </w:r>
      <w:r w:rsidRPr="000A7FD1">
        <w:t xml:space="preserve">), </w:t>
      </w:r>
    </w:p>
    <w:p w14:paraId="37BF1641" w14:textId="3FC438C7" w:rsidR="00CE647B" w:rsidRPr="000A7FD1" w:rsidRDefault="00CE647B" w:rsidP="000D1813">
      <w:pPr>
        <w:pStyle w:val="FAMSubsection"/>
        <w:numPr>
          <w:ilvl w:val="0"/>
          <w:numId w:val="35"/>
        </w:numPr>
        <w:ind w:left="1800"/>
      </w:pPr>
      <w:r w:rsidRPr="000A7FD1">
        <w:t xml:space="preserve">walk-throughs performed to confirm an understanding of information systems (FAM 320.02) and </w:t>
      </w:r>
      <w:r w:rsidR="00234346" w:rsidRPr="000A7FD1">
        <w:t xml:space="preserve">determine whether relevant </w:t>
      </w:r>
      <w:r w:rsidRPr="000A7FD1">
        <w:t xml:space="preserve">control activities </w:t>
      </w:r>
      <w:r w:rsidR="00234346" w:rsidRPr="000A7FD1">
        <w:t xml:space="preserve">have been implemented </w:t>
      </w:r>
      <w:r w:rsidRPr="000A7FD1">
        <w:t>(FAM 350.0</w:t>
      </w:r>
      <w:r w:rsidR="005F6D72" w:rsidRPr="000A7FD1">
        <w:t>8</w:t>
      </w:r>
      <w:r w:rsidRPr="000A7FD1">
        <w:t xml:space="preserve">), </w:t>
      </w:r>
    </w:p>
    <w:p w14:paraId="38C59F7E" w14:textId="77777777" w:rsidR="00CE647B" w:rsidRPr="000A7FD1" w:rsidRDefault="00CE647B" w:rsidP="000D1813">
      <w:pPr>
        <w:pStyle w:val="FAMSubsection"/>
        <w:numPr>
          <w:ilvl w:val="0"/>
          <w:numId w:val="35"/>
        </w:numPr>
        <w:ind w:left="1800"/>
      </w:pPr>
      <w:r w:rsidRPr="000A7FD1">
        <w:t>competence of entity personnel,</w:t>
      </w:r>
    </w:p>
    <w:p w14:paraId="1084837C" w14:textId="77777777" w:rsidR="00CE647B" w:rsidRPr="000A7FD1" w:rsidRDefault="00CE647B" w:rsidP="000D1813">
      <w:pPr>
        <w:pStyle w:val="FAMSubsection"/>
        <w:numPr>
          <w:ilvl w:val="0"/>
          <w:numId w:val="35"/>
        </w:numPr>
        <w:ind w:left="1800"/>
      </w:pPr>
      <w:r w:rsidRPr="000A7FD1">
        <w:t xml:space="preserve">the auditor’s past experience, </w:t>
      </w:r>
    </w:p>
    <w:p w14:paraId="46B4F64D" w14:textId="77777777" w:rsidR="00CE647B" w:rsidRPr="000A7FD1" w:rsidRDefault="00CE647B" w:rsidP="000D1813">
      <w:pPr>
        <w:pStyle w:val="FAMSubsection"/>
        <w:numPr>
          <w:ilvl w:val="0"/>
          <w:numId w:val="35"/>
        </w:numPr>
        <w:ind w:left="1800"/>
      </w:pPr>
      <w:r w:rsidRPr="000A7FD1">
        <w:t xml:space="preserve">knowledge about other balances, and </w:t>
      </w:r>
    </w:p>
    <w:p w14:paraId="2759C20A" w14:textId="77777777" w:rsidR="00CE647B" w:rsidRPr="000A7FD1" w:rsidRDefault="00CE647B" w:rsidP="000D1813">
      <w:pPr>
        <w:pStyle w:val="FAMSubsection"/>
        <w:numPr>
          <w:ilvl w:val="0"/>
          <w:numId w:val="35"/>
        </w:numPr>
        <w:ind w:left="1800"/>
      </w:pPr>
      <w:r w:rsidRPr="000A7FD1">
        <w:t xml:space="preserve">information obtained during interim substantive testing (FAM 420 and FAM 470). </w:t>
      </w:r>
    </w:p>
    <w:p w14:paraId="3975B9D9" w14:textId="77777777" w:rsidR="00CE647B" w:rsidRPr="000A7FD1" w:rsidRDefault="00CE647B" w:rsidP="00CE647B">
      <w:pPr>
        <w:pStyle w:val="FAMSubsection"/>
        <w:numPr>
          <w:ilvl w:val="0"/>
          <w:numId w:val="0"/>
        </w:numPr>
        <w:ind w:left="1440"/>
      </w:pPr>
      <w:r w:rsidRPr="000A7FD1">
        <w:t>If, after evaluating the results of control tests and other sources of evidence, the auditor concludes that sufficient evidence has not been obtained regarding the effectiveness of the controls tested, the auditor should perform additional control testing, for example, by selecting additional items to test or by performing sampling control tests (see FAM 430 and 450).</w:t>
      </w:r>
    </w:p>
    <w:p w14:paraId="2E054F30" w14:textId="6A728D77" w:rsidR="00F17354" w:rsidRPr="000A7FD1" w:rsidRDefault="00F17354">
      <w:pPr>
        <w:pStyle w:val="StyleHeading3FAM"/>
      </w:pPr>
      <w:r w:rsidRPr="000A7FD1">
        <w:t xml:space="preserve">Evaluate the </w:t>
      </w:r>
      <w:r w:rsidR="00CC7A2D" w:rsidRPr="000A7FD1">
        <w:t xml:space="preserve">Effectiveness of the </w:t>
      </w:r>
      <w:r w:rsidR="009D53C6" w:rsidRPr="000A7FD1">
        <w:t xml:space="preserve">Entity’s </w:t>
      </w:r>
      <w:r w:rsidRPr="000A7FD1">
        <w:t>Internal Control over Financial Reporting</w:t>
      </w:r>
    </w:p>
    <w:p w14:paraId="365D86A8" w14:textId="49EFA553" w:rsidR="00F17354" w:rsidRPr="000A7FD1" w:rsidRDefault="00F17354" w:rsidP="00F17354">
      <w:pPr>
        <w:pStyle w:val="FAM-Subsection"/>
      </w:pPr>
      <w:r w:rsidRPr="000A7FD1">
        <w:t xml:space="preserve">Based on the results of control tests </w:t>
      </w:r>
      <w:r w:rsidR="009C280D" w:rsidRPr="000A7FD1">
        <w:t xml:space="preserve">performed through the internal control phase and sampling control tests </w:t>
      </w:r>
      <w:r w:rsidR="00DB4A56" w:rsidRPr="000A7FD1">
        <w:t>performed in the testing phase (</w:t>
      </w:r>
      <w:r w:rsidR="009C280D" w:rsidRPr="000A7FD1">
        <w:t xml:space="preserve">see FAM 450), the </w:t>
      </w:r>
      <w:r w:rsidRPr="000A7FD1">
        <w:t xml:space="preserve">auditor should evaluate the </w:t>
      </w:r>
      <w:r w:rsidR="00CC7A2D" w:rsidRPr="000A7FD1">
        <w:t xml:space="preserve">effectiveness of the </w:t>
      </w:r>
      <w:r w:rsidR="009D53C6" w:rsidRPr="000A7FD1">
        <w:t>entity’s</w:t>
      </w:r>
      <w:r w:rsidRPr="000A7FD1">
        <w:t xml:space="preserve"> internal control over financial reporting and determine whether (1) </w:t>
      </w:r>
      <w:r w:rsidR="009D53C6" w:rsidRPr="000A7FD1">
        <w:t xml:space="preserve">each of the five </w:t>
      </w:r>
      <w:r w:rsidRPr="000A7FD1">
        <w:t xml:space="preserve">components </w:t>
      </w:r>
      <w:r w:rsidR="009D53C6" w:rsidRPr="000A7FD1">
        <w:t xml:space="preserve">of internal control </w:t>
      </w:r>
      <w:r w:rsidR="00BE17B2" w:rsidRPr="000A7FD1">
        <w:t>is</w:t>
      </w:r>
      <w:r w:rsidRPr="000A7FD1">
        <w:t xml:space="preserve"> designed, implemented, and operating effectively and (2) the </w:t>
      </w:r>
      <w:r w:rsidR="009D53C6" w:rsidRPr="000A7FD1">
        <w:t xml:space="preserve">five </w:t>
      </w:r>
      <w:r w:rsidRPr="000A7FD1">
        <w:t>components are operating together in an integrated manner to achieve the entity’s financial reporting objectives (AU</w:t>
      </w:r>
      <w:r w:rsidRPr="000A7FD1">
        <w:noBreakHyphen/>
        <w:t>C 940.23).</w:t>
      </w:r>
      <w:r w:rsidR="0030400C">
        <w:t xml:space="preserve"> </w:t>
      </w:r>
      <w:r w:rsidRPr="000A7FD1">
        <w:t xml:space="preserve">The auditor assesses the five components and </w:t>
      </w:r>
      <w:r w:rsidR="00544F9D" w:rsidRPr="000A7FD1">
        <w:t>underlying</w:t>
      </w:r>
      <w:r w:rsidRPr="000A7FD1">
        <w:t xml:space="preserve"> principles in the Green Book. In general, all components and principles are relevant for establishing an effective internal control system. See FAM 260 for discussion of the five components and </w:t>
      </w:r>
      <w:r w:rsidR="00544F9D" w:rsidRPr="000A7FD1">
        <w:t>underlying</w:t>
      </w:r>
      <w:r w:rsidRPr="000A7FD1">
        <w:t xml:space="preserve"> principles of internal control. In rare circumstances, there may be an operating or regulatory situation in which management has determined that a principle is not relevant for the entity to achieve its objectives and address related risks. If management determines that a principle is not relevant, management should support that determination with documentation that includes the rationale of how, in the absence of that principle, the associated component could be designed, implemented, and operating effectively. </w:t>
      </w:r>
    </w:p>
    <w:p w14:paraId="6E9C7ED2" w14:textId="1FD550B3" w:rsidR="00C80404" w:rsidRPr="000A7FD1" w:rsidRDefault="0076798B" w:rsidP="004E3BDA">
      <w:pPr>
        <w:pStyle w:val="StyleHeading3FAM"/>
      </w:pPr>
      <w:r w:rsidRPr="000A7FD1">
        <w:t xml:space="preserve">Perform </w:t>
      </w:r>
      <w:r w:rsidR="00C80404" w:rsidRPr="000A7FD1">
        <w:t>Test</w:t>
      </w:r>
      <w:r w:rsidRPr="000A7FD1">
        <w:t>s</w:t>
      </w:r>
      <w:r w:rsidR="00C80404" w:rsidRPr="000A7FD1">
        <w:t xml:space="preserve"> </w:t>
      </w:r>
      <w:r w:rsidRPr="000A7FD1">
        <w:t xml:space="preserve">of </w:t>
      </w:r>
      <w:r w:rsidR="00C80404" w:rsidRPr="000A7FD1">
        <w:t>Compliance with FFMIA</w:t>
      </w:r>
    </w:p>
    <w:p w14:paraId="0E376BC6" w14:textId="4698D854" w:rsidR="00F17354" w:rsidRPr="000A7FD1" w:rsidRDefault="00C80404" w:rsidP="004A102E">
      <w:pPr>
        <w:pStyle w:val="FAMSubsection"/>
      </w:pPr>
      <w:r w:rsidRPr="000A7FD1">
        <w:t xml:space="preserve">The auditor may make preliminary conclusions as to whether the entity’s financial management systems comply </w:t>
      </w:r>
      <w:r w:rsidR="00C32E29" w:rsidRPr="000A7FD1">
        <w:t xml:space="preserve">substantially </w:t>
      </w:r>
      <w:r w:rsidRPr="000A7FD1">
        <w:t xml:space="preserve">with federal financial management systems requirements, federal accounting standards (U.S. GAAP), and the </w:t>
      </w:r>
      <w:r w:rsidR="00502B31" w:rsidRPr="000A7FD1">
        <w:t>US</w:t>
      </w:r>
      <w:r w:rsidRPr="000A7FD1">
        <w:t>SGL at the transaction level. However, the auditor should not form a final conclusion as to compliance, especially with accounting standards, until the auditor completes substantive procedures (see FAM 470).</w:t>
      </w:r>
    </w:p>
    <w:p w14:paraId="79A81CAA" w14:textId="77777777" w:rsidR="00F17354" w:rsidRPr="000A7FD1" w:rsidRDefault="00F17354" w:rsidP="00F17354">
      <w:pPr>
        <w:pStyle w:val="FAMSubsection"/>
        <w:numPr>
          <w:ilvl w:val="0"/>
          <w:numId w:val="0"/>
        </w:numPr>
        <w:ind w:left="1440" w:hanging="720"/>
      </w:pPr>
    </w:p>
    <w:p w14:paraId="04BA2FCF" w14:textId="1369C751" w:rsidR="00B545A3" w:rsidRPr="000A7FD1" w:rsidRDefault="00B545A3" w:rsidP="00F17354">
      <w:pPr>
        <w:pStyle w:val="FAMSubsection"/>
        <w:numPr>
          <w:ilvl w:val="0"/>
          <w:numId w:val="0"/>
        </w:numPr>
        <w:ind w:left="1440" w:hanging="720"/>
      </w:pPr>
      <w:r w:rsidRPr="000A7FD1">
        <w:br w:type="page"/>
      </w:r>
    </w:p>
    <w:p w14:paraId="75C8D2DD" w14:textId="77777777" w:rsidR="008104EC" w:rsidRPr="000A7FD1" w:rsidRDefault="008104EC" w:rsidP="001E3E8C">
      <w:pPr>
        <w:pStyle w:val="FAMSubsection"/>
        <w:numPr>
          <w:ilvl w:val="0"/>
          <w:numId w:val="0"/>
        </w:numPr>
        <w:ind w:left="1440" w:hanging="720"/>
        <w:sectPr w:rsidR="008104EC" w:rsidRPr="000A7FD1" w:rsidSect="00666BFE">
          <w:headerReference w:type="default" r:id="rId37"/>
          <w:footerReference w:type="default" r:id="rId38"/>
          <w:endnotePr>
            <w:numFmt w:val="decimal"/>
          </w:endnotePr>
          <w:pgSz w:w="12240" w:h="15840"/>
          <w:pgMar w:top="1080" w:right="1440" w:bottom="1080" w:left="1080" w:header="720" w:footer="720" w:gutter="360"/>
          <w:pgNumType w:start="1"/>
          <w:cols w:space="720"/>
          <w:noEndnote/>
          <w:docGrid w:linePitch="326"/>
        </w:sectPr>
      </w:pPr>
    </w:p>
    <w:p w14:paraId="344E711B" w14:textId="77777777" w:rsidR="008104EC" w:rsidRPr="000A7FD1" w:rsidRDefault="008104EC" w:rsidP="00713125">
      <w:pPr>
        <w:pStyle w:val="Heading2FAM"/>
      </w:pPr>
      <w:r w:rsidRPr="000A7FD1">
        <w:lastRenderedPageBreak/>
        <w:t xml:space="preserve">370 </w:t>
      </w:r>
      <w:r w:rsidR="004C25AA" w:rsidRPr="000A7FD1">
        <w:t>–</w:t>
      </w:r>
      <w:r w:rsidRPr="000A7FD1">
        <w:t xml:space="preserve"> Assess Internal Control on a Preliminary Basis</w:t>
      </w:r>
    </w:p>
    <w:p w14:paraId="4055E65C" w14:textId="0999F148" w:rsidR="008104EC" w:rsidRPr="000A7FD1" w:rsidRDefault="008104EC" w:rsidP="00CC7A2D">
      <w:pPr>
        <w:pStyle w:val="FAM-Subsection"/>
        <w:numPr>
          <w:ilvl w:val="0"/>
          <w:numId w:val="29"/>
        </w:numPr>
      </w:pPr>
      <w:r w:rsidRPr="000A7FD1">
        <w:t>Based on the evaluation of the design and implementation of internal control</w:t>
      </w:r>
      <w:r w:rsidR="00F75801" w:rsidRPr="000A7FD1">
        <w:t>,</w:t>
      </w:r>
      <w:r w:rsidRPr="000A7FD1">
        <w:t xml:space="preserve"> and</w:t>
      </w:r>
      <w:r w:rsidR="001D458F" w:rsidRPr="000A7FD1">
        <w:t xml:space="preserve"> </w:t>
      </w:r>
      <w:r w:rsidRPr="000A7FD1">
        <w:t>the results of control tests</w:t>
      </w:r>
      <w:r w:rsidR="00A723EB" w:rsidRPr="000A7FD1">
        <w:t xml:space="preserve"> </w:t>
      </w:r>
      <w:r w:rsidR="00EF3814" w:rsidRPr="000A7FD1">
        <w:t xml:space="preserve">completed </w:t>
      </w:r>
      <w:r w:rsidR="00735CCB" w:rsidRPr="000A7FD1">
        <w:t>through</w:t>
      </w:r>
      <w:r w:rsidR="00EF3814" w:rsidRPr="000A7FD1">
        <w:t xml:space="preserve"> the internal control phase, </w:t>
      </w:r>
      <w:r w:rsidRPr="000A7FD1">
        <w:t xml:space="preserve">the auditor should preliminarily assess the effectiveness of internal control during the period (for </w:t>
      </w:r>
      <w:r w:rsidR="00DB4053" w:rsidRPr="000A7FD1">
        <w:t xml:space="preserve">a </w:t>
      </w:r>
      <w:r w:rsidRPr="000A7FD1">
        <w:t>report on internal control and for determining the risk of material misstatement used to determine the nature, extent, and timing of further audit procedures) and as of the end of the period</w:t>
      </w:r>
      <w:r w:rsidR="006E19C6" w:rsidRPr="000A7FD1">
        <w:t xml:space="preserve"> (</w:t>
      </w:r>
      <w:r w:rsidRPr="000A7FD1">
        <w:t>if the auditor is expressing an opinion on internal control as of that point in time</w:t>
      </w:r>
      <w:r w:rsidR="006E19C6" w:rsidRPr="000A7FD1">
        <w:t>)</w:t>
      </w:r>
      <w:r w:rsidRPr="000A7FD1">
        <w:t>. Assessing the effectiveness of IS controls is discussed in FAM</w:t>
      </w:r>
      <w:r w:rsidR="00024876" w:rsidRPr="000A7FD1">
        <w:t> </w:t>
      </w:r>
      <w:r w:rsidRPr="000A7FD1">
        <w:t>370.03</w:t>
      </w:r>
      <w:r w:rsidR="00037A72" w:rsidRPr="000A7FD1">
        <w:t xml:space="preserve"> through .</w:t>
      </w:r>
      <w:r w:rsidRPr="000A7FD1">
        <w:t>05. Assessing the effectiveness of each type of control</w:t>
      </w:r>
      <w:r w:rsidR="003D6201" w:rsidRPr="000A7FD1">
        <w:t>—</w:t>
      </w:r>
      <w:r w:rsidRPr="000A7FD1">
        <w:t>financial reporting (including safeguarding</w:t>
      </w:r>
      <w:r w:rsidR="00D110EA" w:rsidRPr="000A7FD1">
        <w:t xml:space="preserve"> </w:t>
      </w:r>
      <w:r w:rsidR="00E638D5" w:rsidRPr="000A7FD1">
        <w:t xml:space="preserve">assets </w:t>
      </w:r>
      <w:r w:rsidR="00D110EA" w:rsidRPr="000A7FD1">
        <w:t>and segregation</w:t>
      </w:r>
      <w:r w:rsidR="00EC4C49" w:rsidRPr="000A7FD1">
        <w:t xml:space="preserve"> </w:t>
      </w:r>
      <w:r w:rsidR="00D110EA" w:rsidRPr="000A7FD1">
        <w:t>of</w:t>
      </w:r>
      <w:r w:rsidR="00EC4C49" w:rsidRPr="000A7FD1">
        <w:t xml:space="preserve"> </w:t>
      </w:r>
      <w:r w:rsidR="00D110EA" w:rsidRPr="000A7FD1">
        <w:t>duties</w:t>
      </w:r>
      <w:r w:rsidRPr="000A7FD1">
        <w:t>), budget, compliance, and operations</w:t>
      </w:r>
      <w:r w:rsidR="003D6201" w:rsidRPr="000A7FD1">
        <w:t>—</w:t>
      </w:r>
      <w:r w:rsidRPr="000A7FD1">
        <w:t>is discussed in FAM 370.06</w:t>
      </w:r>
      <w:r w:rsidR="00037A72" w:rsidRPr="000A7FD1">
        <w:t xml:space="preserve"> through .</w:t>
      </w:r>
      <w:r w:rsidRPr="000A7FD1">
        <w:t>1</w:t>
      </w:r>
      <w:r w:rsidR="0061687F" w:rsidRPr="000A7FD1">
        <w:t>4</w:t>
      </w:r>
      <w:r w:rsidRPr="000A7FD1">
        <w:t>.</w:t>
      </w:r>
    </w:p>
    <w:p w14:paraId="3A733130" w14:textId="67A27BC3" w:rsidR="008104EC" w:rsidRPr="000A7FD1" w:rsidRDefault="008104EC" w:rsidP="004A102E">
      <w:pPr>
        <w:pStyle w:val="FAMSubsection"/>
      </w:pPr>
      <w:r w:rsidRPr="000A7FD1">
        <w:t xml:space="preserve">To assess the effectiveness of internal control, the auditor determines whether internal control provides reasonable assurance that control objectives are achieved. Internal control only provides reasonable assurance that misstatements, losses, or noncompliance, material in relation to the financial statements, would be prevented, or detected and corrected, during the period under audit. For each control objective that is not achieved, the auditor should obtain sufficient </w:t>
      </w:r>
      <w:bookmarkStart w:id="1" w:name="_Hlk162976203"/>
      <w:r w:rsidRPr="000A7FD1">
        <w:t xml:space="preserve">(1) information to determine whether the deficiency is a material weakness, significant deficiency, or other control deficiency and to </w:t>
      </w:r>
      <w:r w:rsidR="006E19C6" w:rsidRPr="000A7FD1">
        <w:t xml:space="preserve">report any deficiencies </w:t>
      </w:r>
      <w:r w:rsidRPr="000A7FD1">
        <w:t xml:space="preserve">in the auditor’s report or separate report </w:t>
      </w:r>
      <w:r w:rsidR="00C70F48" w:rsidRPr="000A7FD1">
        <w:t xml:space="preserve">to management </w:t>
      </w:r>
      <w:r w:rsidRPr="000A7FD1">
        <w:t>(see FAM</w:t>
      </w:r>
      <w:r w:rsidR="00024876" w:rsidRPr="000A7FD1">
        <w:t> </w:t>
      </w:r>
      <w:r w:rsidRPr="000A7FD1">
        <w:t>580) and</w:t>
      </w:r>
      <w:bookmarkEnd w:id="1"/>
      <w:r w:rsidRPr="000A7FD1">
        <w:t xml:space="preserve"> (2) evidence to support the preliminary assessment of the effectiveness of internal control and the risk of material misstatement.</w:t>
      </w:r>
    </w:p>
    <w:p w14:paraId="7032C923" w14:textId="71CA0576" w:rsidR="008104EC" w:rsidRPr="000A7FD1" w:rsidRDefault="008104EC" w:rsidP="004E3BDA">
      <w:pPr>
        <w:pStyle w:val="StyleHeading3FAM"/>
      </w:pPr>
      <w:r w:rsidRPr="000A7FD1">
        <w:t>Information System</w:t>
      </w:r>
      <w:r w:rsidR="005F6D72" w:rsidRPr="000A7FD1">
        <w:t xml:space="preserve"> Controls</w:t>
      </w:r>
      <w:r w:rsidRPr="000A7FD1">
        <w:t xml:space="preserve"> </w:t>
      </w:r>
    </w:p>
    <w:p w14:paraId="675B4796" w14:textId="458B71F0" w:rsidR="008104EC" w:rsidRPr="000A7FD1" w:rsidRDefault="00B376B3" w:rsidP="004A102E">
      <w:pPr>
        <w:pStyle w:val="FAMSubsection"/>
      </w:pPr>
      <w:r w:rsidRPr="000A7FD1">
        <w:t>Because of</w:t>
      </w:r>
      <w:r w:rsidR="00090FA1" w:rsidRPr="000A7FD1">
        <w:t xml:space="preserve"> the technical nature of many IS controls, the auditor generally should obtain assistance from an IS controls auditor in assessing these controls. </w:t>
      </w:r>
      <w:r w:rsidR="008104EC" w:rsidRPr="000A7FD1">
        <w:t xml:space="preserve">Based on the procedures performed, the auditor and IS controls </w:t>
      </w:r>
      <w:r w:rsidR="0091746B" w:rsidRPr="000A7FD1">
        <w:t>auditor</w:t>
      </w:r>
      <w:r w:rsidR="00090FA1" w:rsidRPr="000A7FD1">
        <w:t xml:space="preserve"> </w:t>
      </w:r>
      <w:r w:rsidR="008104EC" w:rsidRPr="000A7FD1">
        <w:t xml:space="preserve">should discuss conclusions on the effectiveness of IS controls and reach agreement. The auditor should (1) incorporate the conclusions into the audit documentation for each IS control tested and (2) perform tests </w:t>
      </w:r>
      <w:r w:rsidR="00110563" w:rsidRPr="000A7FD1">
        <w:t>on the manual aspect</w:t>
      </w:r>
      <w:r w:rsidR="006E19C6" w:rsidRPr="000A7FD1">
        <w:t>s</w:t>
      </w:r>
      <w:r w:rsidR="00110563" w:rsidRPr="000A7FD1">
        <w:t xml:space="preserve"> of </w:t>
      </w:r>
      <w:r w:rsidR="008104EC" w:rsidRPr="000A7FD1">
        <w:t>application controls (</w:t>
      </w:r>
      <w:r w:rsidR="00110563" w:rsidRPr="000A7FD1">
        <w:t>e.g.</w:t>
      </w:r>
      <w:r w:rsidR="00D5737C" w:rsidRPr="000A7FD1">
        <w:t>,</w:t>
      </w:r>
      <w:r w:rsidR="00110563" w:rsidRPr="000A7FD1">
        <w:t xml:space="preserve"> </w:t>
      </w:r>
      <w:r w:rsidR="008104EC" w:rsidRPr="000A7FD1">
        <w:t xml:space="preserve">manual follow-up </w:t>
      </w:r>
      <w:r w:rsidR="00110563" w:rsidRPr="000A7FD1">
        <w:t xml:space="preserve">on items in an </w:t>
      </w:r>
      <w:r w:rsidR="008104EC" w:rsidRPr="000A7FD1">
        <w:t>exception</w:t>
      </w:r>
      <w:r w:rsidR="00110563" w:rsidRPr="000A7FD1">
        <w:t xml:space="preserve"> report</w:t>
      </w:r>
      <w:r w:rsidR="008104EC" w:rsidRPr="000A7FD1">
        <w:t>).</w:t>
      </w:r>
    </w:p>
    <w:p w14:paraId="33D639B5" w14:textId="55366D53" w:rsidR="008104EC" w:rsidRPr="000A7FD1" w:rsidRDefault="008104EC" w:rsidP="004A102E">
      <w:pPr>
        <w:pStyle w:val="FAMSubsection"/>
      </w:pPr>
      <w:r w:rsidRPr="000A7FD1">
        <w:t>If the auditor determine</w:t>
      </w:r>
      <w:r w:rsidR="00E27109" w:rsidRPr="000A7FD1">
        <w:t>s</w:t>
      </w:r>
      <w:r w:rsidRPr="000A7FD1">
        <w:t xml:space="preserve"> that IS controls are effective, the auditor may also ask the IS controls </w:t>
      </w:r>
      <w:r w:rsidR="0091746B" w:rsidRPr="000A7FD1">
        <w:t xml:space="preserve">auditor </w:t>
      </w:r>
      <w:r w:rsidRPr="000A7FD1">
        <w:t xml:space="preserve">to identify any IS controls within the </w:t>
      </w:r>
      <w:r w:rsidR="00887CBB" w:rsidRPr="000A7FD1">
        <w:t xml:space="preserve">software programs, or </w:t>
      </w:r>
      <w:r w:rsidRPr="000A7FD1">
        <w:t>applications</w:t>
      </w:r>
      <w:r w:rsidR="00887CBB" w:rsidRPr="000A7FD1">
        <w:t>,</w:t>
      </w:r>
      <w:r w:rsidRPr="000A7FD1">
        <w:t xml:space="preserve"> tested that </w:t>
      </w:r>
      <w:r w:rsidR="00AD5DE8" w:rsidRPr="000A7FD1">
        <w:t xml:space="preserve">the auditor did </w:t>
      </w:r>
      <w:r w:rsidRPr="000A7FD1">
        <w:t>not previously identif</w:t>
      </w:r>
      <w:r w:rsidR="00AD5DE8" w:rsidRPr="000A7FD1">
        <w:t>y</w:t>
      </w:r>
      <w:r w:rsidRPr="000A7FD1">
        <w:t xml:space="preserve"> using the above procedures. For example, such IS controls might achieve control objectives not otherwise achieved through manual controls or might be more efficient or effective to test than manual controls. </w:t>
      </w:r>
    </w:p>
    <w:p w14:paraId="3C70A407" w14:textId="7094F04C" w:rsidR="008104EC" w:rsidRPr="000A7FD1" w:rsidRDefault="008104EC" w:rsidP="004A102E">
      <w:pPr>
        <w:pStyle w:val="FAM-Continuation1"/>
      </w:pPr>
      <w:r w:rsidRPr="000A7FD1">
        <w:t xml:space="preserve">The IS controls </w:t>
      </w:r>
      <w:r w:rsidR="0091746B" w:rsidRPr="000A7FD1">
        <w:t xml:space="preserve">auditor </w:t>
      </w:r>
      <w:r w:rsidRPr="000A7FD1">
        <w:t xml:space="preserve">may assist the auditor in determining the efficiency and effectiveness of searching for and testing additional IS controls. The auditor should document these decisions, including a description of the expected nature, extent, and timing of the IS controls </w:t>
      </w:r>
      <w:r w:rsidR="0091746B" w:rsidRPr="000A7FD1">
        <w:t xml:space="preserve">auditor’s </w:t>
      </w:r>
      <w:r w:rsidR="006E19C6" w:rsidRPr="000A7FD1">
        <w:t>work</w:t>
      </w:r>
      <w:r w:rsidRPr="000A7FD1">
        <w:t>.</w:t>
      </w:r>
    </w:p>
    <w:p w14:paraId="48518120" w14:textId="7A5375E5" w:rsidR="008104EC" w:rsidRPr="000A7FD1" w:rsidRDefault="008104EC" w:rsidP="004A102E">
      <w:pPr>
        <w:pStyle w:val="FAMSubsection"/>
      </w:pPr>
      <w:r w:rsidRPr="000A7FD1">
        <w:t xml:space="preserve">The auditor and IS controls </w:t>
      </w:r>
      <w:r w:rsidR="0091746B" w:rsidRPr="000A7FD1">
        <w:t xml:space="preserve">auditor </w:t>
      </w:r>
      <w:r w:rsidRPr="000A7FD1">
        <w:t xml:space="preserve">should work together to document the procedures for evaluating and testing the effectiveness of IS controls and the results of this work. </w:t>
      </w:r>
    </w:p>
    <w:p w14:paraId="79D387A2" w14:textId="77777777" w:rsidR="008104EC" w:rsidRPr="000A7FD1" w:rsidRDefault="008104EC" w:rsidP="00BE2742">
      <w:pPr>
        <w:pStyle w:val="Heading3"/>
        <w:spacing w:before="0"/>
        <w:ind w:left="360"/>
        <w:rPr>
          <w:rFonts w:ascii="Arial" w:hAnsi="Arial"/>
        </w:rPr>
      </w:pPr>
      <w:r w:rsidRPr="000A7FD1">
        <w:rPr>
          <w:rFonts w:ascii="Arial" w:hAnsi="Arial"/>
        </w:rPr>
        <w:lastRenderedPageBreak/>
        <w:t>Financial Reporting Controls</w:t>
      </w:r>
    </w:p>
    <w:p w14:paraId="59E50039" w14:textId="77777777" w:rsidR="00140EA8" w:rsidRPr="000A7FD1" w:rsidRDefault="008104EC" w:rsidP="004A102E">
      <w:pPr>
        <w:pStyle w:val="FAM-Subsection"/>
      </w:pPr>
      <w:r w:rsidRPr="000A7FD1">
        <w:t>Based on audit procedures performed but before sampling control tests,</w:t>
      </w:r>
      <w:r w:rsidRPr="000A7FD1">
        <w:rPr>
          <w:rStyle w:val="FootnoteReference"/>
        </w:rPr>
        <w:footnoteReference w:id="10"/>
      </w:r>
      <w:r w:rsidRPr="000A7FD1">
        <w:t xml:space="preserve"> if any, the auditor generally should form a p</w:t>
      </w:r>
      <w:r w:rsidR="001B316C" w:rsidRPr="000A7FD1">
        <w:t xml:space="preserve">reliminary conclusion about </w:t>
      </w:r>
    </w:p>
    <w:p w14:paraId="3BD16579" w14:textId="3AA6120D" w:rsidR="00140EA8" w:rsidRPr="000A7FD1" w:rsidRDefault="008104EC" w:rsidP="000D1813">
      <w:pPr>
        <w:pStyle w:val="FAM-Subsection"/>
        <w:numPr>
          <w:ilvl w:val="6"/>
          <w:numId w:val="76"/>
        </w:numPr>
        <w:ind w:left="1800"/>
      </w:pPr>
      <w:r w:rsidRPr="000A7FD1">
        <w:t>the effectiveness of financial reporting controls as of the end of the period</w:t>
      </w:r>
      <w:r w:rsidR="00140EA8" w:rsidRPr="000A7FD1">
        <w:t xml:space="preserve"> (</w:t>
      </w:r>
      <w:r w:rsidR="00934448" w:rsidRPr="000A7FD1">
        <w:t>when</w:t>
      </w:r>
      <w:r w:rsidR="00E55BA7" w:rsidRPr="000A7FD1">
        <w:t xml:space="preserve"> the auditor is providing an opinion on internal control</w:t>
      </w:r>
      <w:r w:rsidR="00140EA8" w:rsidRPr="000A7FD1">
        <w:t xml:space="preserve">) </w:t>
      </w:r>
      <w:r w:rsidRPr="000A7FD1">
        <w:t xml:space="preserve">and </w:t>
      </w:r>
    </w:p>
    <w:p w14:paraId="2CA0AF67" w14:textId="7A6B097F" w:rsidR="00140EA8" w:rsidRPr="000A7FD1" w:rsidRDefault="008104EC" w:rsidP="000D1813">
      <w:pPr>
        <w:pStyle w:val="FAM-Subsection"/>
        <w:numPr>
          <w:ilvl w:val="6"/>
          <w:numId w:val="76"/>
        </w:numPr>
        <w:ind w:left="1800"/>
      </w:pPr>
      <w:r w:rsidRPr="000A7FD1">
        <w:t xml:space="preserve">the assessed level of control risk and the risk of material misstatement </w:t>
      </w:r>
      <w:r w:rsidR="003A183D" w:rsidRPr="000A7FD1">
        <w:t xml:space="preserve">(i.e., combined assessment of inherent risk and control risk) </w:t>
      </w:r>
      <w:r w:rsidRPr="000A7FD1">
        <w:t xml:space="preserve">during the period for each </w:t>
      </w:r>
      <w:r w:rsidR="00794D7B" w:rsidRPr="000A7FD1">
        <w:t xml:space="preserve">identified risk of material misstatement </w:t>
      </w:r>
      <w:r w:rsidR="00572657" w:rsidRPr="000A7FD1">
        <w:t xml:space="preserve">at the assertion level </w:t>
      </w:r>
      <w:r w:rsidR="00B01CB4" w:rsidRPr="000A7FD1">
        <w:t xml:space="preserve">for which inherent risk is </w:t>
      </w:r>
      <w:r w:rsidR="002A0127" w:rsidRPr="000A7FD1">
        <w:t>more</w:t>
      </w:r>
      <w:r w:rsidR="00B01CB4" w:rsidRPr="000A7FD1">
        <w:t xml:space="preserve"> than remote,</w:t>
      </w:r>
      <w:r w:rsidR="00794D7B" w:rsidRPr="000A7FD1">
        <w:t xml:space="preserve"> </w:t>
      </w:r>
      <w:r w:rsidR="00C1798D" w:rsidRPr="000A7FD1">
        <w:t xml:space="preserve">for </w:t>
      </w:r>
      <w:r w:rsidRPr="000A7FD1">
        <w:t xml:space="preserve">each </w:t>
      </w:r>
      <w:r w:rsidR="009251D5" w:rsidRPr="000A7FD1">
        <w:t xml:space="preserve">material </w:t>
      </w:r>
      <w:r w:rsidRPr="000A7FD1">
        <w:t>line item</w:t>
      </w:r>
      <w:r w:rsidR="00B01CB4" w:rsidRPr="000A7FD1">
        <w:t>,</w:t>
      </w:r>
      <w:r w:rsidRPr="000A7FD1">
        <w:t xml:space="preserve"> account</w:t>
      </w:r>
      <w:r w:rsidR="00B01CB4" w:rsidRPr="000A7FD1">
        <w:t>, note disclosure, and class of transactions</w:t>
      </w:r>
      <w:r w:rsidRPr="000A7FD1">
        <w:t xml:space="preserve">. </w:t>
      </w:r>
    </w:p>
    <w:p w14:paraId="74E53DC8" w14:textId="70EC5777" w:rsidR="008104EC" w:rsidRPr="000A7FD1" w:rsidRDefault="008104EC" w:rsidP="004A102E">
      <w:pPr>
        <w:pStyle w:val="FAM-Subsection"/>
      </w:pPr>
      <w:r w:rsidRPr="000A7FD1">
        <w:rPr>
          <w:b/>
        </w:rPr>
        <w:t xml:space="preserve">Preliminary assessment of control risk. </w:t>
      </w:r>
      <w:r w:rsidR="002431FB" w:rsidRPr="000A7FD1">
        <w:t>Based on AU-C 315</w:t>
      </w:r>
      <w:r w:rsidR="00DA438C" w:rsidRPr="000A7FD1">
        <w:t>.</w:t>
      </w:r>
      <w:r w:rsidR="00E613EA" w:rsidRPr="000A7FD1">
        <w:t>38</w:t>
      </w:r>
      <w:r w:rsidR="003A183D" w:rsidRPr="000A7FD1">
        <w:t xml:space="preserve"> and .A257</w:t>
      </w:r>
      <w:r w:rsidR="00E613EA" w:rsidRPr="000A7FD1">
        <w:t>, f</w:t>
      </w:r>
      <w:r w:rsidRPr="000A7FD1">
        <w:t xml:space="preserve">or </w:t>
      </w:r>
      <w:r w:rsidRPr="000A7FD1">
        <w:rPr>
          <w:bCs/>
        </w:rPr>
        <w:t xml:space="preserve">each </w:t>
      </w:r>
      <w:r w:rsidR="00596293" w:rsidRPr="000A7FD1">
        <w:rPr>
          <w:bCs/>
        </w:rPr>
        <w:t xml:space="preserve">identified risk of material misstatement </w:t>
      </w:r>
      <w:r w:rsidR="00572657" w:rsidRPr="000A7FD1">
        <w:rPr>
          <w:bCs/>
        </w:rPr>
        <w:t>at the assertion level</w:t>
      </w:r>
      <w:r w:rsidR="00596293" w:rsidRPr="000A7FD1">
        <w:rPr>
          <w:bCs/>
        </w:rPr>
        <w:t xml:space="preserve"> for which inherent risk is more than remote,</w:t>
      </w:r>
      <w:r w:rsidRPr="000A7FD1">
        <w:rPr>
          <w:bCs/>
        </w:rPr>
        <w:t xml:space="preserve"> </w:t>
      </w:r>
      <w:r w:rsidR="00C1798D" w:rsidRPr="000A7FD1">
        <w:rPr>
          <w:bCs/>
        </w:rPr>
        <w:t xml:space="preserve">for </w:t>
      </w:r>
      <w:r w:rsidRPr="000A7FD1">
        <w:rPr>
          <w:bCs/>
        </w:rPr>
        <w:t xml:space="preserve">each </w:t>
      </w:r>
      <w:r w:rsidR="009251D5" w:rsidRPr="000A7FD1">
        <w:t xml:space="preserve">material </w:t>
      </w:r>
      <w:r w:rsidRPr="000A7FD1">
        <w:t>line item</w:t>
      </w:r>
      <w:r w:rsidR="00EB00E1" w:rsidRPr="000A7FD1">
        <w:t>,</w:t>
      </w:r>
      <w:r w:rsidRPr="000A7FD1">
        <w:t xml:space="preserve"> account, </w:t>
      </w:r>
      <w:r w:rsidR="00EB00E1" w:rsidRPr="000A7FD1">
        <w:t xml:space="preserve">note disclosure, and class of transactions, </w:t>
      </w:r>
      <w:r w:rsidRPr="000A7FD1">
        <w:t>the auditor should assess control risk</w:t>
      </w:r>
      <w:r w:rsidR="00DA438C" w:rsidRPr="000A7FD1">
        <w:rPr>
          <w:b/>
        </w:rPr>
        <w:t xml:space="preserve"> </w:t>
      </w:r>
      <w:r w:rsidRPr="000A7FD1">
        <w:t>at one of three levels:</w:t>
      </w:r>
    </w:p>
    <w:p w14:paraId="19802934" w14:textId="78E94A26" w:rsidR="008104EC" w:rsidRPr="000A7FD1" w:rsidRDefault="008104EC" w:rsidP="000D1813">
      <w:pPr>
        <w:pStyle w:val="FAM-Bullet-1"/>
        <w:numPr>
          <w:ilvl w:val="0"/>
          <w:numId w:val="56"/>
        </w:numPr>
        <w:ind w:left="1800"/>
      </w:pPr>
      <w:r w:rsidRPr="000A7FD1">
        <w:rPr>
          <w:b/>
        </w:rPr>
        <w:t>Low:</w:t>
      </w:r>
      <w:r w:rsidRPr="000A7FD1">
        <w:t xml:space="preserve"> The auditor believes that controls </w:t>
      </w:r>
      <w:r w:rsidRPr="000A7FD1">
        <w:rPr>
          <w:b/>
        </w:rPr>
        <w:t>will</w:t>
      </w:r>
      <w:r w:rsidRPr="000A7FD1">
        <w:rPr>
          <w:b/>
          <w:bCs/>
        </w:rPr>
        <w:t xml:space="preserve"> </w:t>
      </w:r>
      <w:r w:rsidR="007C347E" w:rsidRPr="000A7FD1">
        <w:rPr>
          <w:b/>
          <w:bCs/>
        </w:rPr>
        <w:t>likely</w:t>
      </w:r>
      <w:r w:rsidR="007C347E" w:rsidRPr="000A7FD1">
        <w:t xml:space="preserve"> </w:t>
      </w:r>
      <w:r w:rsidRPr="000A7FD1">
        <w:t>prevent</w:t>
      </w:r>
      <w:r w:rsidR="00601E12" w:rsidRPr="000A7FD1">
        <w:t>,</w:t>
      </w:r>
      <w:r w:rsidRPr="000A7FD1">
        <w:t xml:space="preserve"> or detect </w:t>
      </w:r>
      <w:r w:rsidR="00601E12" w:rsidRPr="000A7FD1">
        <w:t xml:space="preserve">and correct, </w:t>
      </w:r>
      <w:r w:rsidR="00992536" w:rsidRPr="000A7FD1">
        <w:t xml:space="preserve">on a timely basis </w:t>
      </w:r>
      <w:r w:rsidRPr="000A7FD1">
        <w:t>any aggregate misstatements in excess of performance materiality</w:t>
      </w:r>
      <w:r w:rsidR="005F4BD1" w:rsidRPr="000A7FD1">
        <w:t xml:space="preserve"> that could occur in the assertion</w:t>
      </w:r>
      <w:r w:rsidRPr="000A7FD1">
        <w:t>.</w:t>
      </w:r>
    </w:p>
    <w:p w14:paraId="64B979FE" w14:textId="0ADC145C" w:rsidR="008104EC" w:rsidRPr="000A7FD1" w:rsidRDefault="008104EC" w:rsidP="000D1813">
      <w:pPr>
        <w:pStyle w:val="FAM-Bullet-1"/>
        <w:numPr>
          <w:ilvl w:val="0"/>
          <w:numId w:val="56"/>
        </w:numPr>
        <w:ind w:left="1800"/>
      </w:pPr>
      <w:r w:rsidRPr="000A7FD1">
        <w:rPr>
          <w:b/>
        </w:rPr>
        <w:t>Moderate:</w:t>
      </w:r>
      <w:r w:rsidRPr="000A7FD1">
        <w:t xml:space="preserve"> The auditor believes that controls </w:t>
      </w:r>
      <w:r w:rsidRPr="000A7FD1">
        <w:rPr>
          <w:b/>
        </w:rPr>
        <w:t xml:space="preserve">will </w:t>
      </w:r>
      <w:r w:rsidR="00726C2B" w:rsidRPr="000A7FD1">
        <w:rPr>
          <w:b/>
        </w:rPr>
        <w:t xml:space="preserve">less than likely but </w:t>
      </w:r>
      <w:r w:rsidRPr="000A7FD1">
        <w:rPr>
          <w:b/>
        </w:rPr>
        <w:t xml:space="preserve">more </w:t>
      </w:r>
      <w:r w:rsidR="007C347E" w:rsidRPr="000A7FD1">
        <w:rPr>
          <w:b/>
        </w:rPr>
        <w:t>than un</w:t>
      </w:r>
      <w:r w:rsidRPr="000A7FD1">
        <w:rPr>
          <w:b/>
        </w:rPr>
        <w:t xml:space="preserve">likely </w:t>
      </w:r>
      <w:r w:rsidRPr="000A7FD1">
        <w:t>prevent</w:t>
      </w:r>
      <w:r w:rsidR="00601E12" w:rsidRPr="000A7FD1">
        <w:t>,</w:t>
      </w:r>
      <w:r w:rsidRPr="000A7FD1">
        <w:t xml:space="preserve"> or detect </w:t>
      </w:r>
      <w:r w:rsidR="00601E12" w:rsidRPr="000A7FD1">
        <w:t>and correct,</w:t>
      </w:r>
      <w:r w:rsidR="00992536" w:rsidRPr="000A7FD1">
        <w:t xml:space="preserve"> on a timely basis</w:t>
      </w:r>
      <w:r w:rsidR="00601E12" w:rsidRPr="000A7FD1">
        <w:t xml:space="preserve"> </w:t>
      </w:r>
      <w:r w:rsidRPr="000A7FD1">
        <w:t>any aggregate misstatements in excess of performance materiality</w:t>
      </w:r>
      <w:r w:rsidR="005F4BD1" w:rsidRPr="000A7FD1">
        <w:t xml:space="preserve"> that could occur in the assertion</w:t>
      </w:r>
      <w:r w:rsidRPr="000A7FD1">
        <w:t>.</w:t>
      </w:r>
      <w:r w:rsidR="00E33E8C" w:rsidRPr="000A7FD1">
        <w:t xml:space="preserve"> </w:t>
      </w:r>
    </w:p>
    <w:p w14:paraId="3A89F7C4" w14:textId="1B406DC4" w:rsidR="008104EC" w:rsidRPr="000A7FD1" w:rsidRDefault="008104EC" w:rsidP="000D1813">
      <w:pPr>
        <w:pStyle w:val="FAM-Bullet-1"/>
        <w:numPr>
          <w:ilvl w:val="0"/>
          <w:numId w:val="56"/>
        </w:numPr>
        <w:ind w:left="1800"/>
      </w:pPr>
      <w:r w:rsidRPr="000A7FD1">
        <w:rPr>
          <w:b/>
        </w:rPr>
        <w:t>High:</w:t>
      </w:r>
      <w:r w:rsidRPr="000A7FD1">
        <w:t xml:space="preserve"> The auditor believes that controls </w:t>
      </w:r>
      <w:r w:rsidRPr="000A7FD1">
        <w:rPr>
          <w:b/>
        </w:rPr>
        <w:t xml:space="preserve">will unlikely </w:t>
      </w:r>
      <w:r w:rsidRPr="000A7FD1">
        <w:t>prevent</w:t>
      </w:r>
      <w:r w:rsidR="00601E12" w:rsidRPr="000A7FD1">
        <w:t>,</w:t>
      </w:r>
      <w:r w:rsidRPr="000A7FD1">
        <w:t xml:space="preserve"> or detect</w:t>
      </w:r>
      <w:r w:rsidR="00601E12" w:rsidRPr="000A7FD1">
        <w:t xml:space="preserve"> and correct,</w:t>
      </w:r>
      <w:r w:rsidRPr="000A7FD1">
        <w:t xml:space="preserve"> </w:t>
      </w:r>
      <w:r w:rsidR="00992536" w:rsidRPr="000A7FD1">
        <w:t xml:space="preserve">on a timely basis </w:t>
      </w:r>
      <w:r w:rsidRPr="000A7FD1">
        <w:t>any aggregate misstatements in excess of performance materiality</w:t>
      </w:r>
      <w:r w:rsidR="005F4BD1" w:rsidRPr="000A7FD1">
        <w:t xml:space="preserve"> that could occur in the assertion</w:t>
      </w:r>
      <w:r w:rsidRPr="000A7FD1">
        <w:t>.</w:t>
      </w:r>
    </w:p>
    <w:p w14:paraId="64B2FF38" w14:textId="3BC07F8A" w:rsidR="00262659" w:rsidRPr="000A7FD1" w:rsidRDefault="008104EC" w:rsidP="004A102E">
      <w:pPr>
        <w:pStyle w:val="FAM-Subsection"/>
      </w:pPr>
      <w:r w:rsidRPr="000A7FD1">
        <w:rPr>
          <w:b/>
        </w:rPr>
        <w:t>Preliminary assessment of the risk of material misstatement.</w:t>
      </w:r>
      <w:r w:rsidRPr="000A7FD1">
        <w:t xml:space="preserve"> In assessing the risk of material misstatement, the auditor should evaluate the likelihood that a material misstatement would occur (inherent risk) </w:t>
      </w:r>
      <w:r w:rsidR="00AB74A7" w:rsidRPr="000A7FD1">
        <w:t>(see FAM 26</w:t>
      </w:r>
      <w:r w:rsidR="00326467" w:rsidRPr="000A7FD1">
        <w:t>5</w:t>
      </w:r>
      <w:r w:rsidR="00AB74A7" w:rsidRPr="000A7FD1">
        <w:t xml:space="preserve">) </w:t>
      </w:r>
      <w:r w:rsidRPr="000A7FD1">
        <w:t>and not be prevented or detected on a timely basis by the entity’s internal control (control risk). The auditor should base this preliminary assessment of the risk of material misstatement on the auditor’s assessment of inherent risk and control risk.</w:t>
      </w:r>
      <w:r w:rsidR="00262659" w:rsidRPr="000A7FD1">
        <w:t xml:space="preserve"> </w:t>
      </w:r>
      <w:r w:rsidR="00ED6993" w:rsidRPr="000A7FD1">
        <w:t>Based on AU-C 315.38, if controls are not effective, the auditor should assess control risk at the maximum level</w:t>
      </w:r>
      <w:r w:rsidR="00CD3AA9" w:rsidRPr="000A7FD1">
        <w:t xml:space="preserve">. This results in </w:t>
      </w:r>
      <w:r w:rsidR="00ED6993" w:rsidRPr="000A7FD1">
        <w:t xml:space="preserve">the assessment of the risk of material misstatement </w:t>
      </w:r>
      <w:r w:rsidR="00CD3AA9" w:rsidRPr="000A7FD1">
        <w:t>being</w:t>
      </w:r>
      <w:r w:rsidR="00ED6993" w:rsidRPr="000A7FD1">
        <w:t xml:space="preserve"> the same as the assessment of inherent risk.</w:t>
      </w:r>
    </w:p>
    <w:p w14:paraId="55EE39AC" w14:textId="1A665EC5" w:rsidR="008104EC" w:rsidRPr="000A7FD1" w:rsidRDefault="008104EC" w:rsidP="004A102E">
      <w:pPr>
        <w:pStyle w:val="FAM-Subsection"/>
      </w:pPr>
      <w:r w:rsidRPr="000A7FD1">
        <w:t xml:space="preserve">For each </w:t>
      </w:r>
      <w:r w:rsidR="00591396" w:rsidRPr="000A7FD1">
        <w:t xml:space="preserve">identified risk of material misstatement </w:t>
      </w:r>
      <w:r w:rsidR="00572657" w:rsidRPr="000A7FD1">
        <w:t xml:space="preserve">at the </w:t>
      </w:r>
      <w:r w:rsidRPr="000A7FD1">
        <w:t>assertion</w:t>
      </w:r>
      <w:r w:rsidR="00572657" w:rsidRPr="000A7FD1">
        <w:t xml:space="preserve"> level</w:t>
      </w:r>
      <w:r w:rsidR="00591396" w:rsidRPr="000A7FD1">
        <w:t xml:space="preserve"> for which inherent risk is more than remote,</w:t>
      </w:r>
      <w:r w:rsidRPr="000A7FD1">
        <w:t xml:space="preserve"> </w:t>
      </w:r>
      <w:r w:rsidR="00C1798D" w:rsidRPr="000A7FD1">
        <w:t>for</w:t>
      </w:r>
      <w:r w:rsidRPr="000A7FD1">
        <w:t xml:space="preserve"> each </w:t>
      </w:r>
      <w:r w:rsidR="005374A6" w:rsidRPr="000A7FD1">
        <w:t xml:space="preserve">material </w:t>
      </w:r>
      <w:r w:rsidR="00B5302B" w:rsidRPr="000A7FD1">
        <w:t>line item</w:t>
      </w:r>
      <w:r w:rsidR="002479A0" w:rsidRPr="000A7FD1">
        <w:t>,</w:t>
      </w:r>
      <w:r w:rsidR="00B5302B" w:rsidRPr="000A7FD1">
        <w:t xml:space="preserve"> </w:t>
      </w:r>
      <w:r w:rsidRPr="000A7FD1">
        <w:t xml:space="preserve">account, </w:t>
      </w:r>
      <w:r w:rsidR="002479A0" w:rsidRPr="000A7FD1">
        <w:t xml:space="preserve">note disclosure, </w:t>
      </w:r>
      <w:r w:rsidR="00EB00E1" w:rsidRPr="000A7FD1">
        <w:t>and</w:t>
      </w:r>
      <w:r w:rsidR="002479A0" w:rsidRPr="000A7FD1">
        <w:t xml:space="preserve"> class of transactions, </w:t>
      </w:r>
      <w:r w:rsidRPr="000A7FD1">
        <w:t>the auditor should assess the risk of material misstatement at one of three levels:</w:t>
      </w:r>
    </w:p>
    <w:p w14:paraId="2F2751E1" w14:textId="2FDD00EF" w:rsidR="008104EC" w:rsidRPr="000A7FD1" w:rsidRDefault="008104EC" w:rsidP="000D1813">
      <w:pPr>
        <w:pStyle w:val="FAM-Bullet-1"/>
        <w:numPr>
          <w:ilvl w:val="0"/>
          <w:numId w:val="57"/>
        </w:numPr>
        <w:ind w:left="1800"/>
      </w:pPr>
      <w:r w:rsidRPr="000A7FD1">
        <w:rPr>
          <w:b/>
        </w:rPr>
        <w:t>Low:</w:t>
      </w:r>
      <w:r w:rsidRPr="000A7FD1">
        <w:t xml:space="preserve"> Based on the evaluation of inherent risk and control risk, but prior to the application of substantive audit procedures, the auditor believes that </w:t>
      </w:r>
      <w:r w:rsidR="000502F4" w:rsidRPr="000A7FD1">
        <w:t xml:space="preserve">it is </w:t>
      </w:r>
      <w:r w:rsidR="000502F4" w:rsidRPr="000A7FD1">
        <w:rPr>
          <w:b/>
          <w:bCs/>
        </w:rPr>
        <w:t>unlikely</w:t>
      </w:r>
      <w:r w:rsidR="000502F4" w:rsidRPr="000A7FD1">
        <w:t xml:space="preserve"> that </w:t>
      </w:r>
      <w:r w:rsidRPr="000A7FD1">
        <w:t xml:space="preserve">any aggregate misstatements in the assertion exceed </w:t>
      </w:r>
      <w:r w:rsidRPr="000A7FD1">
        <w:lastRenderedPageBreak/>
        <w:t>performance materiality.</w:t>
      </w:r>
    </w:p>
    <w:p w14:paraId="127CE8C7" w14:textId="2274BE1C" w:rsidR="008104EC" w:rsidRPr="000A7FD1" w:rsidRDefault="008104EC" w:rsidP="000D1813">
      <w:pPr>
        <w:pStyle w:val="FAM-Bullet-1"/>
        <w:numPr>
          <w:ilvl w:val="0"/>
          <w:numId w:val="57"/>
        </w:numPr>
        <w:ind w:left="1800"/>
      </w:pPr>
      <w:r w:rsidRPr="000A7FD1">
        <w:rPr>
          <w:b/>
        </w:rPr>
        <w:t>Moderate:</w:t>
      </w:r>
      <w:r w:rsidRPr="000A7FD1">
        <w:t xml:space="preserve"> Based on the evaluation of inherent risk and control risk, but prior to the application of substantive audit procedures, the auditor believes that it is </w:t>
      </w:r>
      <w:r w:rsidRPr="000A7FD1">
        <w:rPr>
          <w:b/>
        </w:rPr>
        <w:t xml:space="preserve">more </w:t>
      </w:r>
      <w:r w:rsidR="000502F4" w:rsidRPr="000A7FD1">
        <w:rPr>
          <w:b/>
        </w:rPr>
        <w:t>than un</w:t>
      </w:r>
      <w:r w:rsidRPr="000A7FD1">
        <w:rPr>
          <w:b/>
        </w:rPr>
        <w:t xml:space="preserve">likely </w:t>
      </w:r>
      <w:r w:rsidR="000502F4" w:rsidRPr="000A7FD1">
        <w:rPr>
          <w:b/>
        </w:rPr>
        <w:t xml:space="preserve">but less </w:t>
      </w:r>
      <w:r w:rsidRPr="000A7FD1">
        <w:rPr>
          <w:b/>
        </w:rPr>
        <w:t xml:space="preserve">than </w:t>
      </w:r>
      <w:r w:rsidR="000502F4" w:rsidRPr="000A7FD1">
        <w:rPr>
          <w:b/>
        </w:rPr>
        <w:t>likely</w:t>
      </w:r>
      <w:r w:rsidRPr="000A7FD1">
        <w:t xml:space="preserve"> that any aggregate misstatements in the assertion exceed performance materiality.</w:t>
      </w:r>
    </w:p>
    <w:p w14:paraId="5CFACB12" w14:textId="7A2DD454" w:rsidR="008104EC" w:rsidRPr="000A7FD1" w:rsidRDefault="008104EC" w:rsidP="000D1813">
      <w:pPr>
        <w:pStyle w:val="FAM-Bullet-1"/>
        <w:numPr>
          <w:ilvl w:val="0"/>
          <w:numId w:val="57"/>
        </w:numPr>
        <w:ind w:left="1800"/>
      </w:pPr>
      <w:r w:rsidRPr="000A7FD1">
        <w:rPr>
          <w:b/>
        </w:rPr>
        <w:t>High:</w:t>
      </w:r>
      <w:r w:rsidRPr="000A7FD1">
        <w:t xml:space="preserve"> Based on the evaluation of inherent risk and control risk, but prior to the application of substantive audit procedures, the auditor believes that it is </w:t>
      </w:r>
      <w:r w:rsidRPr="000A7FD1">
        <w:rPr>
          <w:b/>
        </w:rPr>
        <w:t>likely</w:t>
      </w:r>
      <w:r w:rsidRPr="000A7FD1">
        <w:t xml:space="preserve"> that any aggregate misstatements in the assertion exceed performance materiality. As a result, the auditor should obtain most, if not all, audit evidence from substantive procedures.</w:t>
      </w:r>
    </w:p>
    <w:p w14:paraId="78FB1DEB" w14:textId="7F615827" w:rsidR="00EE67AC" w:rsidRPr="000A7FD1" w:rsidRDefault="00BC5A38" w:rsidP="004A102E">
      <w:pPr>
        <w:pStyle w:val="FAMSubsection"/>
      </w:pPr>
      <w:r w:rsidRPr="000A7FD1">
        <w:t>As discussed in FAM 265, t</w:t>
      </w:r>
      <w:r w:rsidR="00EE67AC" w:rsidRPr="000A7FD1">
        <w:t>he auditor should evaluate whether the audit evidence obtained from the risk assessment procedures provides an appropriate basis for the identification and assessment of the risks of material misstatement</w:t>
      </w:r>
      <w:r w:rsidRPr="000A7FD1">
        <w:t>.</w:t>
      </w:r>
      <w:r w:rsidR="006718A1" w:rsidRPr="000A7FD1">
        <w:t xml:space="preserve"> </w:t>
      </w:r>
      <w:r w:rsidR="00EE67AC" w:rsidRPr="000A7FD1">
        <w:t xml:space="preserve">If not, the auditor should perform additional risk assessment procedures until audit evidence has been obtained to provide </w:t>
      </w:r>
      <w:r w:rsidR="00E84BEB" w:rsidRPr="000A7FD1">
        <w:t>an appropriate</w:t>
      </w:r>
      <w:r w:rsidR="00EE67AC" w:rsidRPr="000A7FD1">
        <w:t xml:space="preserve"> basis. In identifying and assessing the risks of material misstatement, the auditor should take into account all audit evidence obtained from the risk assessment procedures, whether corroborative or contradictory to assertions made by management.</w:t>
      </w:r>
    </w:p>
    <w:p w14:paraId="1C4D54E5" w14:textId="4B379A0B" w:rsidR="008104EC" w:rsidRPr="000A7FD1" w:rsidRDefault="008104EC" w:rsidP="004A102E">
      <w:pPr>
        <w:pStyle w:val="FAMSubsection"/>
      </w:pPr>
      <w:r w:rsidRPr="000A7FD1">
        <w:t>The minimum substantive assurance from substantive procedures varies directly with the risk of material misstatement. In other words, as the risk of material misstatement increases, so does the minimum substantive assurance level. FAM</w:t>
      </w:r>
      <w:r w:rsidR="00024876" w:rsidRPr="000A7FD1">
        <w:t> </w:t>
      </w:r>
      <w:r w:rsidRPr="000A7FD1">
        <w:t xml:space="preserve">470 discusses the assurance level in more detail. The auditor should document the preliminary assessment of control risk </w:t>
      </w:r>
      <w:r w:rsidR="00D1069D" w:rsidRPr="000A7FD1">
        <w:t xml:space="preserve">in the SCE worksheet </w:t>
      </w:r>
      <w:r w:rsidRPr="000A7FD1">
        <w:t xml:space="preserve">and </w:t>
      </w:r>
      <w:r w:rsidR="00D1069D" w:rsidRPr="000A7FD1">
        <w:t xml:space="preserve">on the LIRA form, or equivalents. The auditor should also document the preliminary assessment of </w:t>
      </w:r>
      <w:r w:rsidRPr="000A7FD1">
        <w:t xml:space="preserve">the risk of material misstatement </w:t>
      </w:r>
      <w:r w:rsidR="00D1069D" w:rsidRPr="000A7FD1">
        <w:t xml:space="preserve">on </w:t>
      </w:r>
      <w:r w:rsidRPr="000A7FD1">
        <w:t xml:space="preserve">the LIRA </w:t>
      </w:r>
      <w:r w:rsidR="00CF2106" w:rsidRPr="000A7FD1">
        <w:t xml:space="preserve">form </w:t>
      </w:r>
      <w:r w:rsidRPr="000A7FD1">
        <w:t>or equivalent.</w:t>
      </w:r>
    </w:p>
    <w:p w14:paraId="5DBEA97C" w14:textId="77777777" w:rsidR="008104EC" w:rsidRPr="000A7FD1" w:rsidRDefault="008104EC" w:rsidP="004E3BDA">
      <w:pPr>
        <w:pStyle w:val="StyleHeading3FAM"/>
      </w:pPr>
      <w:r w:rsidRPr="000A7FD1">
        <w:t>Budget Controls</w:t>
      </w:r>
    </w:p>
    <w:p w14:paraId="7678E125" w14:textId="77777777" w:rsidR="008104EC" w:rsidRPr="000A7FD1" w:rsidRDefault="008104EC" w:rsidP="004A102E">
      <w:pPr>
        <w:pStyle w:val="FAMSubsection"/>
      </w:pPr>
      <w:r w:rsidRPr="000A7FD1">
        <w:t xml:space="preserve">When forming conclusions on the effectiveness of internal control related to budget execution, the auditor should evaluate the impact of any uncorrected misstatements noted in the proprietary accounts and should determine any impact on the budgetary amounts. If the budgetary amounts are also misstated, the auditor should determine whether these misstatements </w:t>
      </w:r>
      <w:r w:rsidR="00CC5598" w:rsidRPr="000A7FD1">
        <w:t>indicate</w:t>
      </w:r>
      <w:r w:rsidRPr="000A7FD1">
        <w:t xml:space="preserve"> deficiencies in internal control related to budget execution. If audit evidence indicates that internal control might not provide reasonable assurance that the entity executed transactions in accordance with budget authority, the auditor should discuss the legal implications with</w:t>
      </w:r>
      <w:r w:rsidR="00CC5598" w:rsidRPr="000A7FD1">
        <w:t xml:space="preserve"> the Office of </w:t>
      </w:r>
      <w:r w:rsidR="008A3A37" w:rsidRPr="000A7FD1">
        <w:t xml:space="preserve">the </w:t>
      </w:r>
      <w:r w:rsidR="00CC5598" w:rsidRPr="000A7FD1">
        <w:t>General Counsel</w:t>
      </w:r>
      <w:r w:rsidRPr="000A7FD1">
        <w:t xml:space="preserve"> </w:t>
      </w:r>
      <w:r w:rsidR="00CC5598" w:rsidRPr="000A7FD1">
        <w:t>(</w:t>
      </w:r>
      <w:r w:rsidRPr="000A7FD1">
        <w:t>OGC</w:t>
      </w:r>
      <w:r w:rsidR="00CC5598" w:rsidRPr="000A7FD1">
        <w:t>)</w:t>
      </w:r>
      <w:r w:rsidRPr="000A7FD1">
        <w:t xml:space="preserve"> and document the conclusions.</w:t>
      </w:r>
    </w:p>
    <w:p w14:paraId="16624640" w14:textId="77777777" w:rsidR="008104EC" w:rsidRPr="000A7FD1" w:rsidRDefault="008104EC" w:rsidP="004E3BDA">
      <w:pPr>
        <w:pStyle w:val="StyleHeading3FAM"/>
      </w:pPr>
      <w:r w:rsidRPr="000A7FD1">
        <w:t>Compliance Controls</w:t>
      </w:r>
    </w:p>
    <w:p w14:paraId="532DB7D3" w14:textId="77777777" w:rsidR="008104EC" w:rsidRPr="000A7FD1" w:rsidRDefault="008104EC" w:rsidP="004A102E">
      <w:pPr>
        <w:pStyle w:val="FAMSubsection"/>
      </w:pPr>
      <w:r w:rsidRPr="000A7FD1">
        <w:t>Based on the results of compliance control tests and other audit procedures, the auditor should</w:t>
      </w:r>
    </w:p>
    <w:p w14:paraId="1BF20ACC" w14:textId="77777777" w:rsidR="008104EC" w:rsidRPr="000A7FD1" w:rsidRDefault="008104EC" w:rsidP="000D1813">
      <w:pPr>
        <w:pStyle w:val="FAM-Bullet-1"/>
        <w:numPr>
          <w:ilvl w:val="0"/>
          <w:numId w:val="73"/>
        </w:numPr>
        <w:ind w:left="1800"/>
      </w:pPr>
      <w:r w:rsidRPr="000A7FD1">
        <w:t>conclude whether the entity’s internal control provides reasonable assurance that the entity complied with the significant provisions of applicable laws, regulations, contracts, and grant agreements</w:t>
      </w:r>
      <w:r w:rsidR="00805C7F" w:rsidRPr="000A7FD1">
        <w:t>, noncompliance with which could have a material effect on the financial statements</w:t>
      </w:r>
      <w:r w:rsidRPr="000A7FD1">
        <w:t>, and</w:t>
      </w:r>
    </w:p>
    <w:p w14:paraId="2F94F23A" w14:textId="216F5C3D" w:rsidR="008104EC" w:rsidRPr="000A7FD1" w:rsidRDefault="008104EC" w:rsidP="000D1813">
      <w:pPr>
        <w:pStyle w:val="FAM-Bullet-1"/>
        <w:numPr>
          <w:ilvl w:val="0"/>
          <w:numId w:val="73"/>
        </w:numPr>
        <w:ind w:left="1800"/>
      </w:pPr>
      <w:r w:rsidRPr="000A7FD1">
        <w:t xml:space="preserve">report deficiencies in compliance controls that come to the auditor’s attention </w:t>
      </w:r>
      <w:r w:rsidRPr="000A7FD1">
        <w:lastRenderedPageBreak/>
        <w:t>(see FAM 580).</w:t>
      </w:r>
    </w:p>
    <w:p w14:paraId="001D64CE" w14:textId="77777777" w:rsidR="008104EC" w:rsidRPr="000A7FD1" w:rsidRDefault="008104EC" w:rsidP="004A102E">
      <w:pPr>
        <w:pStyle w:val="FAM-Continuation1"/>
      </w:pPr>
      <w:r w:rsidRPr="000A7FD1">
        <w:t xml:space="preserve">If compliance controls are effective in preventing, or detecting and correcting, noncompliance with </w:t>
      </w:r>
      <w:r w:rsidR="00B53088" w:rsidRPr="000A7FD1">
        <w:t xml:space="preserve">significant </w:t>
      </w:r>
      <w:r w:rsidRPr="000A7FD1">
        <w:t>provisions of applicable laws, regulations, contracts, and grant agreements during the period, the extent of compliance testing can be less than if such controls were not effective, as discussed in FAM 460.</w:t>
      </w:r>
    </w:p>
    <w:p w14:paraId="02B0DC20" w14:textId="77777777" w:rsidR="008104EC" w:rsidRPr="000A7FD1" w:rsidRDefault="008104EC" w:rsidP="004E3BDA">
      <w:pPr>
        <w:pStyle w:val="StyleHeading3FAM"/>
      </w:pPr>
      <w:r w:rsidRPr="000A7FD1">
        <w:t>Operations Controls</w:t>
      </w:r>
    </w:p>
    <w:p w14:paraId="55F96E53" w14:textId="0554A0F7" w:rsidR="008104EC" w:rsidRPr="000A7FD1" w:rsidRDefault="008104EC" w:rsidP="004A102E">
      <w:pPr>
        <w:pStyle w:val="FAMSubsection"/>
      </w:pPr>
      <w:r w:rsidRPr="000A7FD1">
        <w:t>If the results of control tests indicate that operations controls were not effective during the period, the auditor should not place reliance on th</w:t>
      </w:r>
      <w:r w:rsidR="00E66868" w:rsidRPr="000A7FD1">
        <w:t>o</w:t>
      </w:r>
      <w:r w:rsidR="000A1F63" w:rsidRPr="000A7FD1">
        <w:t>se</w:t>
      </w:r>
      <w:r w:rsidRPr="000A7FD1">
        <w:t xml:space="preserve"> controls when des</w:t>
      </w:r>
      <w:r w:rsidR="00CC4372" w:rsidRPr="000A7FD1">
        <w:t xml:space="preserve">igning other audit procedures. </w:t>
      </w:r>
      <w:r w:rsidRPr="000A7FD1">
        <w:t>See FAM 580</w:t>
      </w:r>
      <w:r w:rsidR="00E66868" w:rsidRPr="000A7FD1" w:rsidDel="00E66868">
        <w:t xml:space="preserve"> </w:t>
      </w:r>
      <w:r w:rsidRPr="000A7FD1">
        <w:t>regarding reporting deficiencies.</w:t>
      </w:r>
    </w:p>
    <w:p w14:paraId="5D0A3EEE" w14:textId="77777777" w:rsidR="008104EC" w:rsidRPr="000A7FD1" w:rsidRDefault="008104EC" w:rsidP="004E3BDA">
      <w:pPr>
        <w:pStyle w:val="StyleHeading3FAM"/>
      </w:pPr>
      <w:r w:rsidRPr="000A7FD1">
        <w:t>Reevaluation of Control Risk and the Risk of Material Misstatement</w:t>
      </w:r>
    </w:p>
    <w:p w14:paraId="4A8A0613" w14:textId="2F1D77D5" w:rsidR="00EE67AC" w:rsidRPr="000A7FD1" w:rsidRDefault="008104EC" w:rsidP="00EE67AC">
      <w:pPr>
        <w:pStyle w:val="FAMSubsection"/>
      </w:pPr>
      <w:r w:rsidRPr="000A7FD1">
        <w:t xml:space="preserve">After completing the testing phase, discussed in FAM 400, the auditor should reevaluate the preliminary assessment of control risk and the risk of material misstatement for financial reporting controls and control effectiveness for budget, compliance, and operations controls. </w:t>
      </w:r>
      <w:r w:rsidR="00EE67AC" w:rsidRPr="000A7FD1">
        <w:t>If the auditor obtains new information that is inconsistent with the audit evidence on which the auditor originally based the identification or assessments of the risks of material misstatement, the auditor should revise the identification or assessment (AU-C 315.41). For example, i</w:t>
      </w:r>
      <w:r w:rsidRPr="000A7FD1">
        <w:t>f the test results are contrary to the preliminary assessment</w:t>
      </w:r>
      <w:r w:rsidR="00E821DE" w:rsidRPr="000A7FD1">
        <w:t xml:space="preserve"> (e.g.</w:t>
      </w:r>
      <w:r w:rsidR="00E46032" w:rsidRPr="000A7FD1">
        <w:t>,</w:t>
      </w:r>
      <w:r w:rsidR="00E821DE" w:rsidRPr="000A7FD1">
        <w:t xml:space="preserve"> control risk assessed at low, </w:t>
      </w:r>
      <w:r w:rsidR="00725B77" w:rsidRPr="000A7FD1">
        <w:t>but</w:t>
      </w:r>
      <w:r w:rsidR="00E821DE" w:rsidRPr="000A7FD1">
        <w:t xml:space="preserve"> the controls being tested were not operating effectively)</w:t>
      </w:r>
      <w:r w:rsidRPr="000A7FD1">
        <w:t>, the auditor should reevaluate the adequacy of the audit procedures performed and perform additional pro</w:t>
      </w:r>
      <w:r w:rsidR="000735DD" w:rsidRPr="000A7FD1">
        <w:t>cedures as necessary.</w:t>
      </w:r>
      <w:r w:rsidR="00EE67AC" w:rsidRPr="000A7FD1">
        <w:t xml:space="preserve"> See FAM 470.01 and 530 for guidance on reassessing the risks of material misstatement.</w:t>
      </w:r>
    </w:p>
    <w:p w14:paraId="6D1D13BD" w14:textId="2C17D341" w:rsidR="00A61026" w:rsidRPr="000A7FD1" w:rsidRDefault="00A61026" w:rsidP="004A102E">
      <w:pPr>
        <w:pStyle w:val="FAMSubsection"/>
        <w:sectPr w:rsidR="00A61026" w:rsidRPr="000A7FD1" w:rsidSect="00666BFE">
          <w:headerReference w:type="default" r:id="rId39"/>
          <w:footerReference w:type="default" r:id="rId40"/>
          <w:endnotePr>
            <w:numFmt w:val="decimal"/>
          </w:endnotePr>
          <w:pgSz w:w="12240" w:h="15840"/>
          <w:pgMar w:top="1080" w:right="1440" w:bottom="1080" w:left="1080" w:header="720" w:footer="720" w:gutter="360"/>
          <w:pgNumType w:start="1"/>
          <w:cols w:space="720"/>
          <w:noEndnote/>
          <w:docGrid w:linePitch="326"/>
        </w:sectPr>
      </w:pPr>
    </w:p>
    <w:p w14:paraId="0F8B2D5A" w14:textId="77777777" w:rsidR="00A61026" w:rsidRPr="000A7FD1" w:rsidRDefault="00A61026" w:rsidP="00713125">
      <w:pPr>
        <w:pStyle w:val="Heading2FAM"/>
      </w:pPr>
      <w:r w:rsidRPr="000A7FD1">
        <w:lastRenderedPageBreak/>
        <w:t xml:space="preserve">380 </w:t>
      </w:r>
      <w:r w:rsidR="004C25AA" w:rsidRPr="000A7FD1">
        <w:t>–</w:t>
      </w:r>
      <w:r w:rsidRPr="000A7FD1">
        <w:t xml:space="preserve"> Other Considerations</w:t>
      </w:r>
    </w:p>
    <w:p w14:paraId="23BEB697" w14:textId="39D3A88D" w:rsidR="00AD3DD3" w:rsidRPr="000A7FD1" w:rsidRDefault="00A61026" w:rsidP="00AD3DD3">
      <w:pPr>
        <w:pStyle w:val="StyleHeading3FAM"/>
      </w:pPr>
      <w:r w:rsidRPr="000A7FD1">
        <w:t>Partial-Year Controls</w:t>
      </w:r>
    </w:p>
    <w:p w14:paraId="18B4174C" w14:textId="604F491D" w:rsidR="000B1C18" w:rsidRPr="000A7FD1" w:rsidRDefault="000B1C18" w:rsidP="000D1813">
      <w:pPr>
        <w:pStyle w:val="FAM-Subsection"/>
        <w:numPr>
          <w:ilvl w:val="0"/>
          <w:numId w:val="77"/>
        </w:numPr>
      </w:pPr>
      <w:r w:rsidRPr="000A7FD1">
        <w:t>Management may implement changes to the entity’s controls to make them more effective or efficient or to address deficiencies prior to the period-end. The auditor generally should test the operating effectiveness of both new and superseded controls, if they were effectively designed and implemented, to assess control risk for the entire period under audit (see FAM 350</w:t>
      </w:r>
      <w:r w:rsidR="00FD7C00" w:rsidRPr="000A7FD1">
        <w:t xml:space="preserve"> and 360</w:t>
      </w:r>
      <w:r w:rsidRPr="000A7FD1">
        <w:t>). If the auditor is providing an opinion on internal control, the auditor’s tests of operating effectiveness of new controls should be sufficient to support the opinion on internal control over financial reporting as of the period-end date.</w:t>
      </w:r>
    </w:p>
    <w:p w14:paraId="6479F880" w14:textId="77777777" w:rsidR="00A61026" w:rsidRPr="000A7FD1" w:rsidRDefault="00A61026" w:rsidP="004E3BDA">
      <w:pPr>
        <w:pStyle w:val="StyleHeading3FAM"/>
      </w:pPr>
      <w:r w:rsidRPr="000A7FD1">
        <w:t>Planned Changes in Controls</w:t>
      </w:r>
    </w:p>
    <w:p w14:paraId="363F2D3A" w14:textId="4B41E13C" w:rsidR="00A61026" w:rsidRPr="000A7FD1" w:rsidRDefault="00A61026" w:rsidP="004A102E">
      <w:pPr>
        <w:pStyle w:val="FAMSubsection"/>
      </w:pPr>
      <w:r w:rsidRPr="000A7FD1">
        <w:t xml:space="preserve">The auditor may become aware of an entity’s plans to implement new systems </w:t>
      </w:r>
      <w:r w:rsidR="00E0422E" w:rsidRPr="000A7FD1">
        <w:t xml:space="preserve">or controls </w:t>
      </w:r>
      <w:r w:rsidRPr="000A7FD1">
        <w:t xml:space="preserve">after the audit period ends. Even though new systems or controls are planned, the auditor should evaluate </w:t>
      </w:r>
      <w:r w:rsidR="004A5036" w:rsidRPr="000A7FD1">
        <w:t xml:space="preserve">controls over the systems in operation to conclude on whether they are designed, implemented, and operating effectively </w:t>
      </w:r>
      <w:r w:rsidRPr="000A7FD1">
        <w:t xml:space="preserve">through the end of the audit period to </w:t>
      </w:r>
    </w:p>
    <w:p w14:paraId="30B6E509" w14:textId="77777777" w:rsidR="00A61026" w:rsidRPr="000A7FD1" w:rsidRDefault="00A61026" w:rsidP="000D1813">
      <w:pPr>
        <w:pStyle w:val="FAM-Bullet-1"/>
        <w:numPr>
          <w:ilvl w:val="0"/>
          <w:numId w:val="58"/>
        </w:numPr>
        <w:ind w:left="1800"/>
      </w:pPr>
      <w:r w:rsidRPr="000A7FD1">
        <w:t>assess the risk of material misstatement;</w:t>
      </w:r>
    </w:p>
    <w:p w14:paraId="737D5160" w14:textId="77777777" w:rsidR="00A61026" w:rsidRPr="000A7FD1" w:rsidRDefault="00A61026" w:rsidP="000D1813">
      <w:pPr>
        <w:pStyle w:val="FAM-Bullet-1"/>
        <w:numPr>
          <w:ilvl w:val="0"/>
          <w:numId w:val="58"/>
        </w:numPr>
        <w:ind w:left="1800"/>
      </w:pPr>
      <w:r w:rsidRPr="000A7FD1">
        <w:t>determine the nature, extent, and timing of further audit procedures;</w:t>
      </w:r>
    </w:p>
    <w:p w14:paraId="29A7B82D" w14:textId="77777777" w:rsidR="00A61026" w:rsidRPr="000A7FD1" w:rsidRDefault="00A61026" w:rsidP="000D1813">
      <w:pPr>
        <w:pStyle w:val="FAM-Bullet-1"/>
        <w:numPr>
          <w:ilvl w:val="0"/>
          <w:numId w:val="58"/>
        </w:numPr>
        <w:ind w:left="1800"/>
      </w:pPr>
      <w:r w:rsidRPr="000A7FD1">
        <w:t>provide support for the report or opinion on internal controls; and</w:t>
      </w:r>
    </w:p>
    <w:p w14:paraId="22516A32" w14:textId="77777777" w:rsidR="00A61026" w:rsidRPr="000A7FD1" w:rsidRDefault="00A61026" w:rsidP="000D1813">
      <w:pPr>
        <w:pStyle w:val="FAM-Bullet-1"/>
        <w:numPr>
          <w:ilvl w:val="0"/>
          <w:numId w:val="58"/>
        </w:numPr>
        <w:ind w:left="1800"/>
      </w:pPr>
      <w:r w:rsidRPr="000A7FD1">
        <w:t>recommend any improvements to the current system that should be considered in designing the new systems or controls.</w:t>
      </w:r>
    </w:p>
    <w:p w14:paraId="2863BD75" w14:textId="77777777" w:rsidR="00B545A3" w:rsidRPr="000A7FD1" w:rsidRDefault="00A61026" w:rsidP="004A102E">
      <w:pPr>
        <w:pStyle w:val="FAM-Continuation1"/>
      </w:pPr>
      <w:r w:rsidRPr="000A7FD1">
        <w:t>During the current audit, the auditor may review controls designed into the new system and generally should bring any identified deficiencies to the attention of entity management.</w:t>
      </w:r>
      <w:r w:rsidR="00B545A3" w:rsidRPr="000A7FD1">
        <w:br w:type="page"/>
      </w:r>
    </w:p>
    <w:p w14:paraId="1567FB50" w14:textId="77777777" w:rsidR="00BE5466" w:rsidRPr="000A7FD1" w:rsidRDefault="00BE5466" w:rsidP="001E3E8C">
      <w:pPr>
        <w:pStyle w:val="FAM-Continuation1"/>
        <w:ind w:left="0"/>
        <w:sectPr w:rsidR="00BE5466" w:rsidRPr="000A7FD1" w:rsidSect="00666BFE">
          <w:headerReference w:type="default" r:id="rId41"/>
          <w:footerReference w:type="default" r:id="rId42"/>
          <w:endnotePr>
            <w:numFmt w:val="decimal"/>
          </w:endnotePr>
          <w:pgSz w:w="12240" w:h="15840"/>
          <w:pgMar w:top="1080" w:right="1440" w:bottom="1080" w:left="1080" w:header="720" w:footer="720" w:gutter="360"/>
          <w:pgNumType w:start="1"/>
          <w:cols w:space="720"/>
          <w:noEndnote/>
          <w:docGrid w:linePitch="326"/>
        </w:sectPr>
      </w:pPr>
    </w:p>
    <w:p w14:paraId="5120DC51" w14:textId="77777777" w:rsidR="00BE5466" w:rsidRPr="000A7FD1" w:rsidRDefault="00BE5466" w:rsidP="00713125">
      <w:pPr>
        <w:pStyle w:val="Heading2FAM"/>
      </w:pPr>
      <w:r w:rsidRPr="000A7FD1">
        <w:lastRenderedPageBreak/>
        <w:t xml:space="preserve">390 </w:t>
      </w:r>
      <w:r w:rsidR="004C25AA" w:rsidRPr="000A7FD1">
        <w:t>–</w:t>
      </w:r>
      <w:r w:rsidRPr="000A7FD1">
        <w:t xml:space="preserve"> Documentation</w:t>
      </w:r>
    </w:p>
    <w:p w14:paraId="74B0E85D" w14:textId="396AA99E" w:rsidR="00BE5466" w:rsidRPr="000A7FD1" w:rsidRDefault="00BE5466" w:rsidP="000D1813">
      <w:pPr>
        <w:pStyle w:val="FAM-Subsection"/>
        <w:numPr>
          <w:ilvl w:val="0"/>
          <w:numId w:val="30"/>
        </w:numPr>
      </w:pPr>
      <w:r w:rsidRPr="000A7FD1">
        <w:t xml:space="preserve">In addition to preparing an audit plan with control testing audit procedures and other documentation relevant to the internal control phase, the auditor should prepare the documents described in </w:t>
      </w:r>
      <w:r w:rsidR="00494E68" w:rsidRPr="000A7FD1">
        <w:t>this section</w:t>
      </w:r>
      <w:r w:rsidR="00EF34D1" w:rsidRPr="000A7FD1">
        <w:t xml:space="preserve"> </w:t>
      </w:r>
      <w:r w:rsidRPr="000A7FD1">
        <w:t>or their equivalent.</w:t>
      </w:r>
    </w:p>
    <w:p w14:paraId="4D7DDE88" w14:textId="48A7330D" w:rsidR="00494E68" w:rsidRPr="000A7FD1" w:rsidRDefault="00494E68" w:rsidP="00494E68">
      <w:pPr>
        <w:pStyle w:val="FAMSubsection"/>
      </w:pPr>
      <w:r w:rsidRPr="000A7FD1">
        <w:t>The auditor should document the</w:t>
      </w:r>
      <w:r w:rsidR="00B843CC" w:rsidRPr="000A7FD1">
        <w:t xml:space="preserve"> understanding of</w:t>
      </w:r>
      <w:r w:rsidR="00666F66" w:rsidRPr="000A7FD1">
        <w:t xml:space="preserve"> </w:t>
      </w:r>
      <w:r w:rsidR="00B76CF7" w:rsidRPr="000A7FD1">
        <w:t xml:space="preserve">the </w:t>
      </w:r>
      <w:r w:rsidR="00DA6823" w:rsidRPr="000A7FD1">
        <w:t xml:space="preserve">operating effectiveness </w:t>
      </w:r>
      <w:r w:rsidR="00B76CF7" w:rsidRPr="000A7FD1">
        <w:t xml:space="preserve">of </w:t>
      </w:r>
      <w:r w:rsidR="00DA6823" w:rsidRPr="000A7FD1">
        <w:t xml:space="preserve">each component </w:t>
      </w:r>
      <w:r w:rsidR="00C80CB9" w:rsidRPr="000A7FD1">
        <w:t xml:space="preserve">of internal control </w:t>
      </w:r>
      <w:r w:rsidR="00B76CF7" w:rsidRPr="000A7FD1">
        <w:t>(</w:t>
      </w:r>
      <w:r w:rsidR="00DA6823" w:rsidRPr="000A7FD1">
        <w:t>see FAM 360.19</w:t>
      </w:r>
      <w:r w:rsidR="00B76CF7" w:rsidRPr="000A7FD1">
        <w:t>)</w:t>
      </w:r>
      <w:r w:rsidRPr="000A7FD1">
        <w:t xml:space="preserve">. </w:t>
      </w:r>
    </w:p>
    <w:p w14:paraId="3906D5E6" w14:textId="0C5095D7" w:rsidR="009D78A2" w:rsidRPr="000A7FD1" w:rsidRDefault="009D78A2" w:rsidP="009D78A2">
      <w:pPr>
        <w:pStyle w:val="FAMSubsection"/>
      </w:pPr>
      <w:r w:rsidRPr="000A7FD1">
        <w:t>The auditor should document the walk</w:t>
      </w:r>
      <w:r w:rsidR="006F3B2B" w:rsidRPr="000A7FD1">
        <w:t>-</w:t>
      </w:r>
      <w:r w:rsidRPr="000A7FD1">
        <w:t>throughs performed, including the</w:t>
      </w:r>
      <w:r w:rsidR="000D60AE" w:rsidRPr="000A7FD1">
        <w:t>ir</w:t>
      </w:r>
      <w:r w:rsidRPr="000A7FD1">
        <w:t xml:space="preserve"> dates, the information systems and control activities </w:t>
      </w:r>
      <w:r w:rsidR="000D60AE" w:rsidRPr="000A7FD1">
        <w:t>they</w:t>
      </w:r>
      <w:r w:rsidRPr="000A7FD1">
        <w:t xml:space="preserve"> encompassed, and key entity personnel who participated. The auditor should incorporate relevant information obtained from the walk</w:t>
      </w:r>
      <w:r w:rsidR="006F3B2B" w:rsidRPr="000A7FD1">
        <w:t>-</w:t>
      </w:r>
      <w:r w:rsidRPr="000A7FD1">
        <w:t xml:space="preserve">throughs into the applicable cycle memorandums and flowcharts, as discussed below. </w:t>
      </w:r>
    </w:p>
    <w:p w14:paraId="6197C47A" w14:textId="0A911DAB" w:rsidR="0051318B" w:rsidRPr="000A7FD1" w:rsidRDefault="00BE5466" w:rsidP="004A102E">
      <w:pPr>
        <w:pStyle w:val="FAMSubsection"/>
      </w:pPr>
      <w:r w:rsidRPr="000A7FD1">
        <w:t>The auditor should document</w:t>
      </w:r>
      <w:r w:rsidR="008512AE" w:rsidRPr="000A7FD1">
        <w:t xml:space="preserve"> the results of the audit procedures performed and the audit evidence obtained.</w:t>
      </w:r>
      <w:r w:rsidR="00A43470" w:rsidRPr="000A7FD1">
        <w:t xml:space="preserve"> </w:t>
      </w:r>
    </w:p>
    <w:p w14:paraId="4A1FD691" w14:textId="279D50D1" w:rsidR="00BE5466" w:rsidRPr="000A7FD1" w:rsidDel="00A43470" w:rsidRDefault="00BE5466" w:rsidP="004A102E">
      <w:pPr>
        <w:pStyle w:val="FAMSubsection"/>
      </w:pPr>
      <w:r w:rsidRPr="000A7FD1" w:rsidDel="00A43470">
        <w:t>As the audit work is performed, the auditor may become aware of possible significant deficiencies or other matters that should be communicated to the entity, including those charged with governance. The auditor should document and communicate these as described in FAM 290</w:t>
      </w:r>
      <w:r w:rsidR="00780A6C" w:rsidRPr="000A7FD1" w:rsidDel="00A43470">
        <w:t xml:space="preserve">, </w:t>
      </w:r>
      <w:r w:rsidRPr="000A7FD1" w:rsidDel="00A43470">
        <w:t>580</w:t>
      </w:r>
      <w:r w:rsidR="00780A6C" w:rsidRPr="000A7FD1" w:rsidDel="00A43470">
        <w:t>, and 590</w:t>
      </w:r>
      <w:r w:rsidRPr="000A7FD1" w:rsidDel="00A43470">
        <w:t>.</w:t>
      </w:r>
    </w:p>
    <w:p w14:paraId="496EC2A4" w14:textId="77777777" w:rsidR="009C6D71" w:rsidRPr="000A7FD1" w:rsidRDefault="009C6D71" w:rsidP="009C6D71">
      <w:pPr>
        <w:pStyle w:val="StyleHeading3FAM"/>
      </w:pPr>
      <w:r w:rsidRPr="000A7FD1">
        <w:t>Cycle Memorandums and Flowcharts</w:t>
      </w:r>
    </w:p>
    <w:p w14:paraId="773DBCC5" w14:textId="7160E03E" w:rsidR="00B843CC" w:rsidRPr="000A7FD1" w:rsidRDefault="00BE5466" w:rsidP="00B843CC">
      <w:pPr>
        <w:pStyle w:val="FAMSubsection"/>
      </w:pPr>
      <w:r w:rsidRPr="000A7FD1">
        <w:t xml:space="preserve">For each </w:t>
      </w:r>
      <w:r w:rsidR="00C35FC0" w:rsidRPr="000A7FD1">
        <w:t xml:space="preserve">material line item, account, note disclosure, and class of transactions, or cycle (if the auditor groups related items by </w:t>
      </w:r>
      <w:r w:rsidRPr="000A7FD1">
        <w:t>cycle</w:t>
      </w:r>
      <w:r w:rsidR="00C35FC0" w:rsidRPr="000A7FD1">
        <w:t>)</w:t>
      </w:r>
      <w:r w:rsidRPr="000A7FD1">
        <w:t>, the auditor should prepare a cycle memorandum or equivalent</w:t>
      </w:r>
      <w:r w:rsidR="00494E68" w:rsidRPr="000A7FD1">
        <w:t xml:space="preserve"> that</w:t>
      </w:r>
      <w:r w:rsidR="00B843CC" w:rsidRPr="000A7FD1">
        <w:t xml:space="preserve"> </w:t>
      </w:r>
    </w:p>
    <w:p w14:paraId="37C41EC3" w14:textId="1F6B8B95" w:rsidR="00BE5466" w:rsidRPr="000A7FD1" w:rsidRDefault="00BE5466" w:rsidP="000D1813">
      <w:pPr>
        <w:pStyle w:val="FAM-Bullet-1"/>
        <w:numPr>
          <w:ilvl w:val="0"/>
          <w:numId w:val="59"/>
        </w:numPr>
        <w:ind w:left="1800"/>
      </w:pPr>
      <w:r w:rsidRPr="000A7FD1">
        <w:t xml:space="preserve">identifies the </w:t>
      </w:r>
      <w:r w:rsidR="002C37ED" w:rsidRPr="000A7FD1">
        <w:t>material</w:t>
      </w:r>
      <w:r w:rsidR="00A35638" w:rsidRPr="000A7FD1">
        <w:t xml:space="preserve"> </w:t>
      </w:r>
      <w:r w:rsidR="00C35FC0" w:rsidRPr="000A7FD1">
        <w:t xml:space="preserve">line items, accounts, note disclosures, and </w:t>
      </w:r>
      <w:r w:rsidR="00A35638" w:rsidRPr="000A7FD1">
        <w:t xml:space="preserve">classes of </w:t>
      </w:r>
      <w:r w:rsidRPr="000A7FD1">
        <w:t>transactions</w:t>
      </w:r>
      <w:r w:rsidR="00C35FC0" w:rsidRPr="000A7FD1">
        <w:t xml:space="preserve"> included in the cycle</w:t>
      </w:r>
      <w:r w:rsidRPr="000A7FD1">
        <w:t xml:space="preserve"> and </w:t>
      </w:r>
      <w:r w:rsidR="00BE4366" w:rsidRPr="000A7FD1">
        <w:t xml:space="preserve">the </w:t>
      </w:r>
      <w:r w:rsidR="00A155A6" w:rsidRPr="000A7FD1">
        <w:t xml:space="preserve">significant </w:t>
      </w:r>
      <w:r w:rsidRPr="000A7FD1">
        <w:t>financial management system</w:t>
      </w:r>
      <w:r w:rsidR="00A35638" w:rsidRPr="000A7FD1">
        <w:t>s</w:t>
      </w:r>
      <w:r w:rsidRPr="000A7FD1">
        <w:t xml:space="preserve"> </w:t>
      </w:r>
      <w:r w:rsidR="00BE4366" w:rsidRPr="000A7FD1">
        <w:t>that support them</w:t>
      </w:r>
      <w:r w:rsidR="00E30457" w:rsidRPr="000A7FD1">
        <w:t xml:space="preserve"> (see FAM 235)</w:t>
      </w:r>
      <w:r w:rsidRPr="000A7FD1">
        <w:t>;</w:t>
      </w:r>
    </w:p>
    <w:p w14:paraId="4E9F378A" w14:textId="42FB55C1" w:rsidR="001822B5" w:rsidRPr="000A7FD1" w:rsidRDefault="001822B5" w:rsidP="000D1813">
      <w:pPr>
        <w:pStyle w:val="FAM-Bullet-1"/>
        <w:numPr>
          <w:ilvl w:val="0"/>
          <w:numId w:val="59"/>
        </w:numPr>
        <w:ind w:left="1800"/>
      </w:pPr>
      <w:r w:rsidRPr="000A7FD1">
        <w:t xml:space="preserve">documents the auditor’s understanding of </w:t>
      </w:r>
      <w:r w:rsidR="00C0539C" w:rsidRPr="000A7FD1">
        <w:t>information system processing</w:t>
      </w:r>
      <w:r w:rsidRPr="000A7FD1">
        <w:t xml:space="preserve"> </w:t>
      </w:r>
      <w:r w:rsidR="00650080" w:rsidRPr="000A7FD1">
        <w:t>affecting</w:t>
      </w:r>
      <w:r w:rsidRPr="000A7FD1">
        <w:t xml:space="preserve"> the </w:t>
      </w:r>
      <w:r w:rsidR="006C67D9" w:rsidRPr="000A7FD1">
        <w:t>c</w:t>
      </w:r>
      <w:r w:rsidR="00000208" w:rsidRPr="000A7FD1">
        <w:t>ycle</w:t>
      </w:r>
      <w:r w:rsidR="00E30457" w:rsidRPr="000A7FD1">
        <w:t xml:space="preserve"> (see FAM 320 and 340)</w:t>
      </w:r>
      <w:r w:rsidRPr="000A7FD1">
        <w:t xml:space="preserve">; </w:t>
      </w:r>
    </w:p>
    <w:p w14:paraId="2CFDBFBB" w14:textId="6627B542" w:rsidR="00BE5466" w:rsidRPr="000A7FD1" w:rsidRDefault="00BE5466" w:rsidP="000D1813">
      <w:pPr>
        <w:pStyle w:val="FAM-Bullet-1"/>
        <w:numPr>
          <w:ilvl w:val="0"/>
          <w:numId w:val="59"/>
        </w:numPr>
        <w:ind w:left="1800"/>
      </w:pPr>
      <w:r w:rsidRPr="000A7FD1">
        <w:t xml:space="preserve">describes </w:t>
      </w:r>
      <w:r w:rsidR="00B4716D" w:rsidRPr="000A7FD1">
        <w:t xml:space="preserve">relationships </w:t>
      </w:r>
      <w:r w:rsidRPr="000A7FD1">
        <w:t xml:space="preserve">with other cycles; </w:t>
      </w:r>
    </w:p>
    <w:p w14:paraId="30A1228A" w14:textId="6BB796EE" w:rsidR="00BE5466" w:rsidRPr="000A7FD1" w:rsidRDefault="00BE5466" w:rsidP="000D1813">
      <w:pPr>
        <w:pStyle w:val="FAM-Bullet-1"/>
        <w:numPr>
          <w:ilvl w:val="0"/>
          <w:numId w:val="59"/>
        </w:numPr>
        <w:ind w:left="1800"/>
      </w:pPr>
      <w:r w:rsidRPr="000A7FD1">
        <w:t xml:space="preserve">describes the operating policies and procedures </w:t>
      </w:r>
      <w:r w:rsidR="00BE4366" w:rsidRPr="000A7FD1">
        <w:t>affecting the cycle</w:t>
      </w:r>
      <w:r w:rsidRPr="000A7FD1">
        <w:t xml:space="preserve"> (see FAM 320); and </w:t>
      </w:r>
    </w:p>
    <w:p w14:paraId="5B88C7D0" w14:textId="0DCAB4D1" w:rsidR="00AA79CB" w:rsidRPr="000A7FD1" w:rsidRDefault="00AF72AB" w:rsidP="000D1813">
      <w:pPr>
        <w:pStyle w:val="FAM-Bullet-1"/>
        <w:numPr>
          <w:ilvl w:val="0"/>
          <w:numId w:val="59"/>
        </w:numPr>
        <w:ind w:left="1800"/>
      </w:pPr>
      <w:r w:rsidRPr="000A7FD1">
        <w:t xml:space="preserve">describes </w:t>
      </w:r>
      <w:r w:rsidR="00E30457" w:rsidRPr="000A7FD1">
        <w:t>the</w:t>
      </w:r>
      <w:r w:rsidR="00E079B8" w:rsidRPr="000A7FD1">
        <w:t xml:space="preserve"> </w:t>
      </w:r>
      <w:r w:rsidR="002673CD" w:rsidRPr="000A7FD1">
        <w:t xml:space="preserve">relevant </w:t>
      </w:r>
      <w:r w:rsidR="00E079B8" w:rsidRPr="000A7FD1">
        <w:t xml:space="preserve">control activities </w:t>
      </w:r>
      <w:r w:rsidR="00C80CB9" w:rsidRPr="000A7FD1">
        <w:t xml:space="preserve">documented </w:t>
      </w:r>
      <w:r w:rsidR="009F58BE" w:rsidRPr="000A7FD1">
        <w:t>i</w:t>
      </w:r>
      <w:r w:rsidR="00C80CB9" w:rsidRPr="000A7FD1">
        <w:t>n the SCE</w:t>
      </w:r>
      <w:r w:rsidR="004818B8" w:rsidRPr="000A7FD1">
        <w:t xml:space="preserve"> worksheet</w:t>
      </w:r>
      <w:r w:rsidR="00E079B8" w:rsidRPr="000A7FD1">
        <w:t xml:space="preserve"> (see FAM 3</w:t>
      </w:r>
      <w:r w:rsidR="00C80CB9" w:rsidRPr="000A7FD1">
        <w:t>5</w:t>
      </w:r>
      <w:r w:rsidR="00E079B8" w:rsidRPr="000A7FD1">
        <w:t xml:space="preserve">0), </w:t>
      </w:r>
      <w:r w:rsidR="001F16C1" w:rsidRPr="000A7FD1">
        <w:t xml:space="preserve">including </w:t>
      </w:r>
      <w:r w:rsidR="00E30457" w:rsidRPr="000A7FD1">
        <w:t>those</w:t>
      </w:r>
    </w:p>
    <w:p w14:paraId="6437FFDA" w14:textId="34877CF5" w:rsidR="00AA79CB" w:rsidRPr="000A7FD1" w:rsidRDefault="001F16C1" w:rsidP="000D1813">
      <w:pPr>
        <w:pStyle w:val="FAM-Bullet-1"/>
        <w:numPr>
          <w:ilvl w:val="1"/>
          <w:numId w:val="59"/>
        </w:numPr>
        <w:ind w:left="2160"/>
      </w:pPr>
      <w:r w:rsidRPr="000A7FD1">
        <w:t>related to accounting estimates</w:t>
      </w:r>
      <w:r w:rsidR="00AF72AB" w:rsidRPr="000A7FD1">
        <w:t xml:space="preserve"> (</w:t>
      </w:r>
      <w:r w:rsidRPr="000A7FD1">
        <w:t>AU-C 540.38a</w:t>
      </w:r>
      <w:r w:rsidR="00AF72AB" w:rsidRPr="000A7FD1">
        <w:t>)</w:t>
      </w:r>
      <w:r w:rsidR="00E079B8" w:rsidRPr="000A7FD1">
        <w:t xml:space="preserve"> and</w:t>
      </w:r>
    </w:p>
    <w:p w14:paraId="05D406D5" w14:textId="1605E298" w:rsidR="00AA79CB" w:rsidRPr="000A7FD1" w:rsidRDefault="007F6BEC" w:rsidP="000D1813">
      <w:pPr>
        <w:pStyle w:val="FAM-Bullet-1"/>
        <w:numPr>
          <w:ilvl w:val="1"/>
          <w:numId w:val="59"/>
        </w:numPr>
        <w:ind w:left="2160"/>
      </w:pPr>
      <w:r w:rsidRPr="000A7FD1">
        <w:t xml:space="preserve">that address the risks of material misstatement due to fraud </w:t>
      </w:r>
      <w:r w:rsidR="00AF72AB" w:rsidRPr="000A7FD1">
        <w:t>(</w:t>
      </w:r>
      <w:r w:rsidRPr="000A7FD1">
        <w:t>AU-C 240.43c</w:t>
      </w:r>
      <w:r w:rsidR="00AF72AB" w:rsidRPr="000A7FD1">
        <w:t>)</w:t>
      </w:r>
      <w:r w:rsidR="00E079B8" w:rsidRPr="000A7FD1">
        <w:t>.</w:t>
      </w:r>
    </w:p>
    <w:p w14:paraId="71083625" w14:textId="04D1A753" w:rsidR="00BE5466" w:rsidRPr="000A7FD1" w:rsidRDefault="00BE5466" w:rsidP="004A102E">
      <w:pPr>
        <w:pStyle w:val="FAM-Continuation1"/>
      </w:pPr>
      <w:r w:rsidRPr="000A7FD1">
        <w:t xml:space="preserve">For CFO Act agencies, the auditor may include in the cycle memorandum information on FFMIA requirements considered to this point, such as systems requirements and the </w:t>
      </w:r>
      <w:r w:rsidR="00502B31" w:rsidRPr="000A7FD1">
        <w:t>US</w:t>
      </w:r>
      <w:r w:rsidRPr="000A7FD1">
        <w:t>SGL.</w:t>
      </w:r>
    </w:p>
    <w:p w14:paraId="60D4DD78" w14:textId="48A56018" w:rsidR="00B843CC" w:rsidRPr="000A7FD1" w:rsidRDefault="00B843CC" w:rsidP="00B843CC">
      <w:pPr>
        <w:pStyle w:val="FAMSubsection"/>
      </w:pPr>
      <w:r w:rsidRPr="000A7FD1">
        <w:t xml:space="preserve">The auditor may also prepare </w:t>
      </w:r>
      <w:r w:rsidRPr="000A7FD1">
        <w:rPr>
          <w:b/>
          <w:bCs/>
        </w:rPr>
        <w:t>flowchart</w:t>
      </w:r>
      <w:r w:rsidR="00DE4C72" w:rsidRPr="000A7FD1">
        <w:rPr>
          <w:b/>
          <w:bCs/>
        </w:rPr>
        <w:t>s</w:t>
      </w:r>
      <w:r w:rsidRPr="000A7FD1">
        <w:t xml:space="preserve"> </w:t>
      </w:r>
      <w:r w:rsidR="00E30457" w:rsidRPr="000A7FD1">
        <w:t>to</w:t>
      </w:r>
      <w:r w:rsidR="00DE4C72" w:rsidRPr="000A7FD1">
        <w:rPr>
          <w:b/>
          <w:bCs/>
        </w:rPr>
        <w:t xml:space="preserve"> </w:t>
      </w:r>
      <w:r w:rsidR="00DE4C72" w:rsidRPr="000A7FD1">
        <w:t>complement the cycle memorandum and summarize the significant transaction flows in terms of</w:t>
      </w:r>
    </w:p>
    <w:p w14:paraId="4B756972" w14:textId="77777777" w:rsidR="00BE5466" w:rsidRPr="000A7FD1" w:rsidRDefault="00BE5466" w:rsidP="000D1813">
      <w:pPr>
        <w:pStyle w:val="FAM-Bullet-1"/>
        <w:numPr>
          <w:ilvl w:val="0"/>
          <w:numId w:val="60"/>
        </w:numPr>
        <w:ind w:left="1800"/>
      </w:pPr>
      <w:r w:rsidRPr="000A7FD1">
        <w:t>input and report documents</w:t>
      </w:r>
      <w:r w:rsidR="00921D0D" w:rsidRPr="000A7FD1">
        <w:t xml:space="preserve">, </w:t>
      </w:r>
    </w:p>
    <w:p w14:paraId="725B1A2B" w14:textId="77777777" w:rsidR="00BE5466" w:rsidRPr="000A7FD1" w:rsidRDefault="00BE5466" w:rsidP="000D1813">
      <w:pPr>
        <w:pStyle w:val="FAM-Bullet-1"/>
        <w:numPr>
          <w:ilvl w:val="0"/>
          <w:numId w:val="60"/>
        </w:numPr>
        <w:ind w:left="1800"/>
      </w:pPr>
      <w:r w:rsidRPr="000A7FD1">
        <w:t>processing steps</w:t>
      </w:r>
      <w:r w:rsidR="00921D0D" w:rsidRPr="000A7FD1">
        <w:t xml:space="preserve">, </w:t>
      </w:r>
    </w:p>
    <w:p w14:paraId="2C07E912" w14:textId="77777777" w:rsidR="00BE5466" w:rsidRPr="000A7FD1" w:rsidRDefault="00BE5466" w:rsidP="000D1813">
      <w:pPr>
        <w:pStyle w:val="FAM-Bullet-1"/>
        <w:numPr>
          <w:ilvl w:val="0"/>
          <w:numId w:val="60"/>
        </w:numPr>
        <w:ind w:left="1800"/>
      </w:pPr>
      <w:r w:rsidRPr="000A7FD1">
        <w:lastRenderedPageBreak/>
        <w:t>files used</w:t>
      </w:r>
      <w:r w:rsidR="00921D0D" w:rsidRPr="000A7FD1">
        <w:t xml:space="preserve">, </w:t>
      </w:r>
    </w:p>
    <w:p w14:paraId="46851E59" w14:textId="77777777" w:rsidR="00BE5466" w:rsidRPr="000A7FD1" w:rsidRDefault="00E57A29" w:rsidP="000D1813">
      <w:pPr>
        <w:pStyle w:val="FAM-Bullet-1"/>
        <w:numPr>
          <w:ilvl w:val="0"/>
          <w:numId w:val="60"/>
        </w:numPr>
        <w:ind w:left="1800"/>
      </w:pPr>
      <w:r w:rsidRPr="000A7FD1">
        <w:t xml:space="preserve">organizational </w:t>
      </w:r>
      <w:r w:rsidR="00BE5466" w:rsidRPr="000A7FD1">
        <w:t>units involved</w:t>
      </w:r>
      <w:r w:rsidR="00921D0D" w:rsidRPr="000A7FD1">
        <w:t xml:space="preserve">, </w:t>
      </w:r>
    </w:p>
    <w:p w14:paraId="7BEA08C1" w14:textId="4DE59EFA" w:rsidR="00E57A29" w:rsidRPr="000A7FD1" w:rsidRDefault="00E57A29" w:rsidP="000D1813">
      <w:pPr>
        <w:pStyle w:val="FAM-Bullet-1"/>
        <w:numPr>
          <w:ilvl w:val="0"/>
          <w:numId w:val="60"/>
        </w:numPr>
        <w:ind w:left="1800"/>
      </w:pPr>
      <w:r w:rsidRPr="000A7FD1">
        <w:t>information systems</w:t>
      </w:r>
      <w:r w:rsidR="00550C2D" w:rsidRPr="000A7FD1">
        <w:t>, and</w:t>
      </w:r>
    </w:p>
    <w:p w14:paraId="5C5EDECE" w14:textId="255AEB9F" w:rsidR="00BE5466" w:rsidRPr="000A7FD1" w:rsidRDefault="00BE5466" w:rsidP="000D1813">
      <w:pPr>
        <w:pStyle w:val="FAM-Bullet-1"/>
        <w:numPr>
          <w:ilvl w:val="0"/>
          <w:numId w:val="60"/>
        </w:numPr>
        <w:ind w:left="1800"/>
      </w:pPr>
      <w:r w:rsidRPr="000A7FD1">
        <w:t>interfaces with other cycles.</w:t>
      </w:r>
    </w:p>
    <w:p w14:paraId="3E966711" w14:textId="2C0DE8C9" w:rsidR="00BE5466" w:rsidRPr="000A7FD1" w:rsidRDefault="00DE4C72" w:rsidP="008B6636">
      <w:pPr>
        <w:pStyle w:val="FAM-Continuation1"/>
      </w:pPr>
      <w:r w:rsidRPr="000A7FD1">
        <w:t xml:space="preserve">Flowcharts provide a good mechanism for documenting the process and the flow of transactions through the system. However, the auditor generally should avoid extreme detail, which makes the charts confusing and hard to follow. Complex systems, particularly those involving information technology, may be difficult to understand without a flowchart. </w:t>
      </w:r>
      <w:r w:rsidR="00BE5466" w:rsidRPr="000A7FD1">
        <w:t xml:space="preserve">Although the auditor may have gathered information on control activities when preparing flowcharts, the auditor should document these control activities in the SCE worksheet or equivalent. </w:t>
      </w:r>
    </w:p>
    <w:p w14:paraId="2AFCD609" w14:textId="7359CA4B" w:rsidR="00BE5466" w:rsidRPr="000A7FD1" w:rsidRDefault="00BE5466" w:rsidP="004A102E">
      <w:pPr>
        <w:pStyle w:val="FAMSubsection"/>
      </w:pPr>
      <w:r w:rsidRPr="000A7FD1">
        <w:t xml:space="preserve">The auditor should document the understanding of relevant compliance and operations control systems in a memorandum and may prepare </w:t>
      </w:r>
      <w:r w:rsidR="003F0CD3" w:rsidRPr="000A7FD1">
        <w:t>related</w:t>
      </w:r>
      <w:r w:rsidRPr="000A7FD1">
        <w:t xml:space="preserve"> flowchart</w:t>
      </w:r>
      <w:r w:rsidR="003F0CD3" w:rsidRPr="000A7FD1">
        <w:t>s (see FAM 320)</w:t>
      </w:r>
      <w:r w:rsidRPr="000A7FD1">
        <w:t>.</w:t>
      </w:r>
    </w:p>
    <w:p w14:paraId="40ABEF76" w14:textId="77777777" w:rsidR="00BE5466" w:rsidRPr="000A7FD1" w:rsidRDefault="00BE5466" w:rsidP="004E3BDA">
      <w:pPr>
        <w:pStyle w:val="StyleHeading3FAM"/>
      </w:pPr>
      <w:r w:rsidRPr="000A7FD1">
        <w:t>SCE Worksheet</w:t>
      </w:r>
    </w:p>
    <w:p w14:paraId="1F0E53B1" w14:textId="2738C345" w:rsidR="00BE5466" w:rsidRPr="000A7FD1" w:rsidRDefault="00E8532B" w:rsidP="004A102E">
      <w:pPr>
        <w:pStyle w:val="FAMSubsection"/>
      </w:pPr>
      <w:r w:rsidRPr="000A7FD1">
        <w:t>Based on AU-C 315.42c, t</w:t>
      </w:r>
      <w:r w:rsidR="00BE5466" w:rsidRPr="000A7FD1">
        <w:t xml:space="preserve">he auditor should document the evaluation of </w:t>
      </w:r>
      <w:r w:rsidR="00136E7B" w:rsidRPr="000A7FD1">
        <w:t xml:space="preserve">relevant </w:t>
      </w:r>
      <w:r w:rsidR="00BE5466" w:rsidRPr="000A7FD1">
        <w:t>control activities in the SCE worksheet or equivalent</w:t>
      </w:r>
      <w:r w:rsidR="00265986" w:rsidRPr="000A7FD1">
        <w:t xml:space="preserve"> (see FAM </w:t>
      </w:r>
      <w:r w:rsidR="00C94B2A" w:rsidRPr="000A7FD1">
        <w:t>395 G</w:t>
      </w:r>
      <w:r w:rsidR="00265986" w:rsidRPr="000A7FD1">
        <w:t>)</w:t>
      </w:r>
      <w:r w:rsidR="00BE5466" w:rsidRPr="000A7FD1">
        <w:t xml:space="preserve">. The auditor should document control tests in the control test audit plan and in accompanying documents. The auditor should also document any </w:t>
      </w:r>
      <w:r w:rsidR="00827A8F" w:rsidRPr="000A7FD1">
        <w:t>IS</w:t>
      </w:r>
      <w:r w:rsidR="00BE5466" w:rsidRPr="000A7FD1">
        <w:t xml:space="preserve"> control tests</w:t>
      </w:r>
      <w:r w:rsidR="00490FEC" w:rsidRPr="000A7FD1">
        <w:t>,</w:t>
      </w:r>
      <w:r w:rsidR="00BE5466" w:rsidRPr="000A7FD1">
        <w:t xml:space="preserve"> as discussed in FAM 370.05. </w:t>
      </w:r>
    </w:p>
    <w:p w14:paraId="03AD6E45" w14:textId="117B4107" w:rsidR="00BE5466" w:rsidRPr="000A7FD1" w:rsidRDefault="00BE5466" w:rsidP="004E3BDA">
      <w:pPr>
        <w:pStyle w:val="StyleHeading3FAM"/>
      </w:pPr>
      <w:r w:rsidRPr="000A7FD1">
        <w:t>LIRA Form</w:t>
      </w:r>
    </w:p>
    <w:p w14:paraId="2F6BECB0" w14:textId="6EDABFAA" w:rsidR="00C80404" w:rsidRPr="000A7FD1" w:rsidRDefault="004C2A06" w:rsidP="004A102E">
      <w:pPr>
        <w:pStyle w:val="FAM-Subsection"/>
      </w:pPr>
      <w:r w:rsidRPr="000A7FD1">
        <w:t>Based on the results of audit procedures performed through the internal control phase and the auditor’s preliminary assessment of control risk and the risk of material misstatement, t</w:t>
      </w:r>
      <w:r w:rsidR="00BE5466" w:rsidRPr="000A7FD1">
        <w:t xml:space="preserve">he auditor should </w:t>
      </w:r>
      <w:r w:rsidR="00E658F8" w:rsidRPr="000A7FD1">
        <w:t xml:space="preserve">complete the internal control phase columns of </w:t>
      </w:r>
      <w:r w:rsidR="00BE5466" w:rsidRPr="000A7FD1">
        <w:t>the LIRA form or equivalent</w:t>
      </w:r>
      <w:r w:rsidR="00997F17" w:rsidRPr="000A7FD1">
        <w:t xml:space="preserve"> (see</w:t>
      </w:r>
      <w:r w:rsidR="00BE5466" w:rsidRPr="000A7FD1">
        <w:t xml:space="preserve"> FAM 395 </w:t>
      </w:r>
      <w:r w:rsidR="00243DA7" w:rsidRPr="000A7FD1">
        <w:t>H</w:t>
      </w:r>
      <w:r w:rsidR="00997F17" w:rsidRPr="000A7FD1">
        <w:t>)</w:t>
      </w:r>
      <w:r w:rsidR="00BE5466" w:rsidRPr="000A7FD1">
        <w:t>.</w:t>
      </w:r>
      <w:r w:rsidR="00DF6F94" w:rsidRPr="000A7FD1">
        <w:t xml:space="preserve"> If the auditor tentatively completed the internal control phase columns before testing control activities, the auditor should update the LIRA </w:t>
      </w:r>
      <w:r w:rsidR="004818B8" w:rsidRPr="000A7FD1">
        <w:t xml:space="preserve">form </w:t>
      </w:r>
      <w:r w:rsidR="00B114B2" w:rsidRPr="000A7FD1">
        <w:t>as</w:t>
      </w:r>
      <w:r w:rsidR="00DF6F94" w:rsidRPr="000A7FD1">
        <w:t xml:space="preserve"> necessary.</w:t>
      </w:r>
      <w:r w:rsidR="00BE5466" w:rsidRPr="000A7FD1">
        <w:t xml:space="preserve"> </w:t>
      </w:r>
    </w:p>
    <w:p w14:paraId="051FD432" w14:textId="1C90C26D" w:rsidR="00B37CFC" w:rsidRPr="000A7FD1" w:rsidRDefault="00B37CFC" w:rsidP="004A102E">
      <w:pPr>
        <w:pStyle w:val="FAM-Subsection"/>
        <w:numPr>
          <w:ilvl w:val="0"/>
          <w:numId w:val="0"/>
        </w:numPr>
        <w:sectPr w:rsidR="00B37CFC" w:rsidRPr="000A7FD1" w:rsidSect="00666BFE">
          <w:headerReference w:type="default" r:id="rId43"/>
          <w:footerReference w:type="default" r:id="rId44"/>
          <w:endnotePr>
            <w:numFmt w:val="decimal"/>
          </w:endnotePr>
          <w:pgSz w:w="12240" w:h="15840"/>
          <w:pgMar w:top="1080" w:right="1440" w:bottom="1080" w:left="1080" w:header="720" w:footer="720" w:gutter="360"/>
          <w:pgNumType w:start="1"/>
          <w:cols w:space="720"/>
          <w:noEndnote/>
          <w:docGrid w:linePitch="326"/>
        </w:sectPr>
      </w:pPr>
    </w:p>
    <w:p w14:paraId="45D8FBFC" w14:textId="352FDA5B" w:rsidR="00792A77" w:rsidRPr="000A7FD1" w:rsidRDefault="00792A77" w:rsidP="00713125">
      <w:pPr>
        <w:pStyle w:val="Heading2FAM"/>
      </w:pPr>
      <w:bookmarkStart w:id="2" w:name="_Hlk164071160"/>
      <w:r w:rsidRPr="000A7FD1">
        <w:lastRenderedPageBreak/>
        <w:t xml:space="preserve">395 A </w:t>
      </w:r>
      <w:r w:rsidR="004C25AA" w:rsidRPr="000A7FD1">
        <w:t>–</w:t>
      </w:r>
      <w:r w:rsidRPr="000A7FD1">
        <w:t xml:space="preserve"> Typical Relationships of </w:t>
      </w:r>
      <w:r w:rsidR="00582F69" w:rsidRPr="000A7FD1">
        <w:t>Classes of Transactions</w:t>
      </w:r>
      <w:r w:rsidRPr="000A7FD1">
        <w:t xml:space="preserve"> to Line Items</w:t>
      </w:r>
      <w:r w:rsidR="000D0F6F" w:rsidRPr="000A7FD1">
        <w:t xml:space="preserve"> or </w:t>
      </w:r>
      <w:r w:rsidRPr="000A7FD1">
        <w:t>Accounts</w:t>
      </w:r>
    </w:p>
    <w:p w14:paraId="3047D095" w14:textId="55494B8A" w:rsidR="00792A77" w:rsidRPr="000A7FD1" w:rsidRDefault="00792A77" w:rsidP="00933216">
      <w:r w:rsidRPr="000A7FD1">
        <w:t xml:space="preserve">This section illustrates the typical relationships between </w:t>
      </w:r>
      <w:r w:rsidR="00582F69" w:rsidRPr="000A7FD1">
        <w:t>classes of transactions</w:t>
      </w:r>
      <w:r w:rsidRPr="000A7FD1">
        <w:t xml:space="preserve"> and line items or accounts. For example, sources of significant accounting entries to </w:t>
      </w:r>
      <w:r w:rsidR="00582F69" w:rsidRPr="000A7FD1">
        <w:t xml:space="preserve">the </w:t>
      </w:r>
      <w:r w:rsidRPr="000A7FD1">
        <w:t xml:space="preserve">cash </w:t>
      </w:r>
      <w:r w:rsidR="00582F69" w:rsidRPr="000A7FD1">
        <w:t xml:space="preserve">line item </w:t>
      </w:r>
      <w:r w:rsidRPr="000A7FD1">
        <w:t>typically include the cash receipts</w:t>
      </w:r>
      <w:r w:rsidR="00F17D3A" w:rsidRPr="000A7FD1">
        <w:t xml:space="preserve"> and </w:t>
      </w:r>
      <w:r w:rsidRPr="000A7FD1">
        <w:t xml:space="preserve">cash disbursements </w:t>
      </w:r>
      <w:r w:rsidR="00582F69" w:rsidRPr="000A7FD1">
        <w:t>classes of transactions</w:t>
      </w:r>
      <w:r w:rsidRPr="000A7FD1">
        <w:t xml:space="preserve">. </w:t>
      </w:r>
      <w:r w:rsidR="00DE4484" w:rsidRPr="000A7FD1">
        <w:t xml:space="preserve">The </w:t>
      </w:r>
      <w:r w:rsidR="00EA2DC3" w:rsidRPr="000A7FD1">
        <w:t xml:space="preserve">cash line item is also affected by the </w:t>
      </w:r>
      <w:r w:rsidR="00DE4484" w:rsidRPr="000A7FD1">
        <w:t>cash balance class of transactions, which includes reconciliations and maintenance of detailed records</w:t>
      </w:r>
      <w:r w:rsidR="00EA2DC3" w:rsidRPr="000A7FD1">
        <w:t xml:space="preserve"> that </w:t>
      </w:r>
      <w:r w:rsidR="00DE4484" w:rsidRPr="000A7FD1">
        <w:t>support the period-end cash balance.</w:t>
      </w:r>
    </w:p>
    <w:bookmarkEnd w:id="2"/>
    <w:p w14:paraId="73063281" w14:textId="77777777" w:rsidR="00792A77" w:rsidRPr="000A7FD1" w:rsidRDefault="00792A77" w:rsidP="0053611F"/>
    <w:tbl>
      <w:tblPr>
        <w:tblStyle w:val="TableGrid"/>
        <w:tblW w:w="5060" w:type="pct"/>
        <w:tblLayout w:type="fixed"/>
        <w:tblLook w:val="04A0" w:firstRow="1" w:lastRow="0" w:firstColumn="1" w:lastColumn="0" w:noHBand="0" w:noVBand="1"/>
      </w:tblPr>
      <w:tblGrid>
        <w:gridCol w:w="3330"/>
        <w:gridCol w:w="1080"/>
        <w:gridCol w:w="1440"/>
        <w:gridCol w:w="1350"/>
        <w:gridCol w:w="1170"/>
        <w:gridCol w:w="1260"/>
        <w:gridCol w:w="1170"/>
        <w:gridCol w:w="1260"/>
        <w:gridCol w:w="1397"/>
      </w:tblGrid>
      <w:tr w:rsidR="009F58BE" w:rsidRPr="000A7FD1" w14:paraId="418238D0" w14:textId="77777777" w:rsidTr="00B46317">
        <w:tc>
          <w:tcPr>
            <w:tcW w:w="3330" w:type="dxa"/>
            <w:vMerge w:val="restart"/>
            <w:tcBorders>
              <w:top w:val="nil"/>
              <w:left w:val="nil"/>
              <w:right w:val="double" w:sz="6" w:space="0" w:color="000000"/>
            </w:tcBorders>
          </w:tcPr>
          <w:p w14:paraId="305B2D46" w14:textId="77777777" w:rsidR="009F58BE" w:rsidRPr="000A7FD1" w:rsidRDefault="009F58BE" w:rsidP="00B46317">
            <w:pPr>
              <w:pStyle w:val="Table-Head-Left"/>
              <w:spacing w:before="80" w:after="80"/>
            </w:pPr>
          </w:p>
        </w:tc>
        <w:tc>
          <w:tcPr>
            <w:tcW w:w="10127" w:type="dxa"/>
            <w:gridSpan w:val="8"/>
            <w:tcBorders>
              <w:top w:val="double" w:sz="6" w:space="0" w:color="000000"/>
              <w:left w:val="double" w:sz="6" w:space="0" w:color="000000"/>
              <w:bottom w:val="single" w:sz="6" w:space="0" w:color="000000"/>
              <w:right w:val="double" w:sz="6" w:space="0" w:color="000000"/>
            </w:tcBorders>
          </w:tcPr>
          <w:p w14:paraId="34E49DB0" w14:textId="77777777" w:rsidR="009F58BE" w:rsidRPr="000A7FD1" w:rsidRDefault="009F58BE" w:rsidP="00B46317">
            <w:pPr>
              <w:pStyle w:val="Table-Head-Center"/>
            </w:pPr>
            <w:r w:rsidRPr="000A7FD1">
              <w:t>Line Items / Accounts</w:t>
            </w:r>
          </w:p>
        </w:tc>
      </w:tr>
      <w:tr w:rsidR="009F58BE" w:rsidRPr="000A7FD1" w14:paraId="73DB7D36" w14:textId="77777777" w:rsidTr="00B46317">
        <w:tc>
          <w:tcPr>
            <w:tcW w:w="3330" w:type="dxa"/>
            <w:vMerge/>
            <w:tcBorders>
              <w:left w:val="nil"/>
              <w:bottom w:val="double" w:sz="6" w:space="0" w:color="000000"/>
              <w:right w:val="double" w:sz="6" w:space="0" w:color="000000"/>
            </w:tcBorders>
          </w:tcPr>
          <w:p w14:paraId="3BCA4F2A" w14:textId="77777777" w:rsidR="009F58BE" w:rsidRPr="000A7FD1" w:rsidRDefault="009F58BE" w:rsidP="00B46317">
            <w:pPr>
              <w:pStyle w:val="Table-Head-Left"/>
              <w:spacing w:before="80" w:after="80"/>
            </w:pPr>
          </w:p>
        </w:tc>
        <w:tc>
          <w:tcPr>
            <w:tcW w:w="1080" w:type="dxa"/>
            <w:tcBorders>
              <w:top w:val="single" w:sz="6" w:space="0" w:color="000000"/>
              <w:left w:val="double" w:sz="6" w:space="0" w:color="000000"/>
              <w:bottom w:val="double" w:sz="6" w:space="0" w:color="000000"/>
              <w:right w:val="single" w:sz="6" w:space="0" w:color="000000"/>
            </w:tcBorders>
            <w:vAlign w:val="bottom"/>
          </w:tcPr>
          <w:p w14:paraId="5B4BE2A9" w14:textId="77777777" w:rsidR="009F58BE" w:rsidRPr="000A7FD1" w:rsidRDefault="009F58BE" w:rsidP="00B46317">
            <w:pPr>
              <w:spacing w:before="60" w:after="60"/>
              <w:jc w:val="center"/>
            </w:pPr>
            <w:r w:rsidRPr="000A7FD1">
              <w:t>Cash or FBWT</w:t>
            </w:r>
          </w:p>
        </w:tc>
        <w:tc>
          <w:tcPr>
            <w:tcW w:w="1440" w:type="dxa"/>
            <w:tcBorders>
              <w:top w:val="single" w:sz="6" w:space="0" w:color="000000"/>
              <w:left w:val="single" w:sz="6" w:space="0" w:color="000000"/>
              <w:bottom w:val="double" w:sz="6" w:space="0" w:color="000000"/>
              <w:right w:val="single" w:sz="6" w:space="0" w:color="000000"/>
            </w:tcBorders>
            <w:vAlign w:val="bottom"/>
          </w:tcPr>
          <w:p w14:paraId="09435686" w14:textId="77777777" w:rsidR="009F58BE" w:rsidRPr="000A7FD1" w:rsidRDefault="009F58BE" w:rsidP="00B46317">
            <w:pPr>
              <w:spacing w:before="60" w:after="60"/>
              <w:jc w:val="center"/>
            </w:pPr>
            <w:r w:rsidRPr="000A7FD1">
              <w:t>Accounts Receivable</w:t>
            </w:r>
          </w:p>
        </w:tc>
        <w:tc>
          <w:tcPr>
            <w:tcW w:w="1350" w:type="dxa"/>
            <w:tcBorders>
              <w:top w:val="single" w:sz="6" w:space="0" w:color="000000"/>
              <w:left w:val="single" w:sz="6" w:space="0" w:color="000000"/>
              <w:bottom w:val="double" w:sz="6" w:space="0" w:color="000000"/>
              <w:right w:val="single" w:sz="6" w:space="0" w:color="000000"/>
            </w:tcBorders>
            <w:vAlign w:val="bottom"/>
          </w:tcPr>
          <w:p w14:paraId="775B0015" w14:textId="77777777" w:rsidR="009F58BE" w:rsidRPr="000A7FD1" w:rsidRDefault="009F58BE" w:rsidP="00B46317">
            <w:pPr>
              <w:spacing w:before="60" w:after="60"/>
              <w:jc w:val="center"/>
            </w:pPr>
            <w:r w:rsidRPr="000A7FD1">
              <w:t>Inventory</w:t>
            </w:r>
          </w:p>
        </w:tc>
        <w:tc>
          <w:tcPr>
            <w:tcW w:w="1170" w:type="dxa"/>
            <w:tcBorders>
              <w:top w:val="single" w:sz="6" w:space="0" w:color="000000"/>
              <w:left w:val="single" w:sz="6" w:space="0" w:color="000000"/>
              <w:bottom w:val="double" w:sz="6" w:space="0" w:color="000000"/>
              <w:right w:val="single" w:sz="6" w:space="0" w:color="000000"/>
            </w:tcBorders>
            <w:vAlign w:val="bottom"/>
          </w:tcPr>
          <w:p w14:paraId="791F28AD" w14:textId="77777777" w:rsidR="009F58BE" w:rsidRPr="000A7FD1" w:rsidRDefault="009F58BE" w:rsidP="00B46317">
            <w:pPr>
              <w:spacing w:before="60" w:after="60"/>
              <w:jc w:val="center"/>
            </w:pPr>
            <w:r w:rsidRPr="000A7FD1">
              <w:t>Property</w:t>
            </w:r>
          </w:p>
        </w:tc>
        <w:tc>
          <w:tcPr>
            <w:tcW w:w="1260" w:type="dxa"/>
            <w:tcBorders>
              <w:top w:val="single" w:sz="6" w:space="0" w:color="000000"/>
              <w:left w:val="single" w:sz="6" w:space="0" w:color="000000"/>
              <w:bottom w:val="double" w:sz="6" w:space="0" w:color="000000"/>
              <w:right w:val="single" w:sz="6" w:space="0" w:color="000000"/>
            </w:tcBorders>
            <w:vAlign w:val="bottom"/>
          </w:tcPr>
          <w:p w14:paraId="3B686936" w14:textId="77777777" w:rsidR="009F58BE" w:rsidRPr="000A7FD1" w:rsidRDefault="009F58BE" w:rsidP="00B46317">
            <w:pPr>
              <w:spacing w:before="60" w:after="60"/>
              <w:jc w:val="center"/>
            </w:pPr>
            <w:r w:rsidRPr="000A7FD1">
              <w:t>Liabilities</w:t>
            </w:r>
          </w:p>
        </w:tc>
        <w:tc>
          <w:tcPr>
            <w:tcW w:w="1170" w:type="dxa"/>
            <w:tcBorders>
              <w:top w:val="single" w:sz="6" w:space="0" w:color="000000"/>
              <w:left w:val="single" w:sz="6" w:space="0" w:color="000000"/>
              <w:bottom w:val="double" w:sz="6" w:space="0" w:color="000000"/>
              <w:right w:val="single" w:sz="6" w:space="0" w:color="000000"/>
            </w:tcBorders>
            <w:vAlign w:val="bottom"/>
          </w:tcPr>
          <w:p w14:paraId="2F9919E7" w14:textId="77777777" w:rsidR="009F58BE" w:rsidRPr="000A7FD1" w:rsidRDefault="009F58BE" w:rsidP="00B46317">
            <w:pPr>
              <w:spacing w:before="60" w:after="60"/>
              <w:jc w:val="center"/>
            </w:pPr>
            <w:r w:rsidRPr="000A7FD1">
              <w:t>Revenue</w:t>
            </w:r>
          </w:p>
        </w:tc>
        <w:tc>
          <w:tcPr>
            <w:tcW w:w="1260" w:type="dxa"/>
            <w:tcBorders>
              <w:top w:val="single" w:sz="6" w:space="0" w:color="000000"/>
              <w:left w:val="single" w:sz="6" w:space="0" w:color="000000"/>
              <w:bottom w:val="double" w:sz="6" w:space="0" w:color="000000"/>
              <w:right w:val="single" w:sz="6" w:space="0" w:color="000000"/>
            </w:tcBorders>
            <w:vAlign w:val="bottom"/>
          </w:tcPr>
          <w:p w14:paraId="1F83923B" w14:textId="77777777" w:rsidR="009F58BE" w:rsidRPr="000A7FD1" w:rsidRDefault="009F58BE" w:rsidP="00B46317">
            <w:pPr>
              <w:spacing w:before="60" w:after="60"/>
              <w:jc w:val="center"/>
            </w:pPr>
            <w:r w:rsidRPr="000A7FD1">
              <w:t>Expenses</w:t>
            </w:r>
          </w:p>
        </w:tc>
        <w:tc>
          <w:tcPr>
            <w:tcW w:w="1397" w:type="dxa"/>
            <w:tcBorders>
              <w:top w:val="single" w:sz="6" w:space="0" w:color="000000"/>
              <w:left w:val="single" w:sz="6" w:space="0" w:color="000000"/>
              <w:bottom w:val="double" w:sz="6" w:space="0" w:color="000000"/>
              <w:right w:val="double" w:sz="6" w:space="0" w:color="000000"/>
            </w:tcBorders>
            <w:vAlign w:val="bottom"/>
          </w:tcPr>
          <w:p w14:paraId="158D96B6" w14:textId="77777777" w:rsidR="009F58BE" w:rsidRPr="000A7FD1" w:rsidRDefault="009F58BE" w:rsidP="00B46317">
            <w:pPr>
              <w:spacing w:before="60" w:after="60"/>
              <w:jc w:val="center"/>
            </w:pPr>
            <w:r w:rsidRPr="000A7FD1">
              <w:t>Obligations</w:t>
            </w:r>
          </w:p>
        </w:tc>
      </w:tr>
      <w:tr w:rsidR="009F58BE" w:rsidRPr="000A7FD1" w14:paraId="5579B117" w14:textId="77777777" w:rsidTr="00B46317">
        <w:tc>
          <w:tcPr>
            <w:tcW w:w="13457" w:type="dxa"/>
            <w:gridSpan w:val="9"/>
            <w:tcBorders>
              <w:top w:val="double" w:sz="6" w:space="0" w:color="000000"/>
              <w:left w:val="double" w:sz="6" w:space="0" w:color="000000"/>
              <w:bottom w:val="single" w:sz="4" w:space="0" w:color="auto"/>
              <w:right w:val="double" w:sz="6" w:space="0" w:color="000000"/>
            </w:tcBorders>
            <w:shd w:val="clear" w:color="auto" w:fill="D9D9D9" w:themeFill="background1" w:themeFillShade="D9"/>
          </w:tcPr>
          <w:p w14:paraId="465F6A31" w14:textId="77777777" w:rsidR="009F58BE" w:rsidRPr="000A7FD1" w:rsidRDefault="009F58BE" w:rsidP="00B46317">
            <w:pPr>
              <w:pStyle w:val="Table-Head-Left"/>
              <w:spacing w:before="60" w:after="60"/>
            </w:pPr>
            <w:r w:rsidRPr="000A7FD1">
              <w:t xml:space="preserve">Classes of transactions </w:t>
            </w:r>
          </w:p>
        </w:tc>
      </w:tr>
      <w:tr w:rsidR="009F58BE" w:rsidRPr="000A7FD1" w14:paraId="24ED232C" w14:textId="77777777" w:rsidTr="00B46317">
        <w:tc>
          <w:tcPr>
            <w:tcW w:w="3330" w:type="dxa"/>
            <w:tcBorders>
              <w:left w:val="double" w:sz="6" w:space="0" w:color="000000"/>
              <w:right w:val="double" w:sz="6" w:space="0" w:color="000000"/>
            </w:tcBorders>
          </w:tcPr>
          <w:p w14:paraId="388BB0A6" w14:textId="77777777" w:rsidR="009F58BE" w:rsidRPr="000A7FD1" w:rsidRDefault="009F58BE" w:rsidP="00B46317">
            <w:pPr>
              <w:spacing w:before="60" w:after="60"/>
              <w:rPr>
                <w:b/>
                <w:bCs/>
              </w:rPr>
            </w:pPr>
            <w:r w:rsidRPr="000A7FD1">
              <w:rPr>
                <w:b/>
                <w:bCs/>
              </w:rPr>
              <w:t>Transaction related</w:t>
            </w:r>
          </w:p>
        </w:tc>
        <w:tc>
          <w:tcPr>
            <w:tcW w:w="1080" w:type="dxa"/>
            <w:tcBorders>
              <w:left w:val="double" w:sz="6" w:space="0" w:color="000000"/>
              <w:right w:val="single" w:sz="4" w:space="0" w:color="auto"/>
            </w:tcBorders>
            <w:vAlign w:val="center"/>
          </w:tcPr>
          <w:p w14:paraId="62049C5B" w14:textId="77777777" w:rsidR="009F58BE" w:rsidRPr="000A7FD1" w:rsidRDefault="009F58BE" w:rsidP="00B46317">
            <w:pPr>
              <w:spacing w:before="60" w:after="60"/>
              <w:jc w:val="center"/>
            </w:pPr>
          </w:p>
        </w:tc>
        <w:tc>
          <w:tcPr>
            <w:tcW w:w="1440" w:type="dxa"/>
            <w:tcBorders>
              <w:left w:val="single" w:sz="4" w:space="0" w:color="auto"/>
              <w:right w:val="single" w:sz="4" w:space="0" w:color="auto"/>
            </w:tcBorders>
            <w:vAlign w:val="center"/>
          </w:tcPr>
          <w:p w14:paraId="65EF36E8" w14:textId="77777777" w:rsidR="009F58BE" w:rsidRPr="000A7FD1" w:rsidRDefault="009F58BE" w:rsidP="00B46317">
            <w:pPr>
              <w:spacing w:before="60" w:after="60"/>
              <w:jc w:val="center"/>
            </w:pPr>
          </w:p>
        </w:tc>
        <w:tc>
          <w:tcPr>
            <w:tcW w:w="1350" w:type="dxa"/>
            <w:tcBorders>
              <w:left w:val="single" w:sz="4" w:space="0" w:color="auto"/>
              <w:right w:val="single" w:sz="4" w:space="0" w:color="auto"/>
            </w:tcBorders>
            <w:vAlign w:val="center"/>
          </w:tcPr>
          <w:p w14:paraId="251A590B" w14:textId="77777777" w:rsidR="009F58BE" w:rsidRPr="000A7FD1" w:rsidRDefault="009F58BE" w:rsidP="00B46317">
            <w:pPr>
              <w:spacing w:before="60" w:after="60"/>
              <w:jc w:val="center"/>
            </w:pPr>
          </w:p>
        </w:tc>
        <w:tc>
          <w:tcPr>
            <w:tcW w:w="1170" w:type="dxa"/>
            <w:tcBorders>
              <w:left w:val="single" w:sz="4" w:space="0" w:color="auto"/>
              <w:right w:val="single" w:sz="4" w:space="0" w:color="auto"/>
            </w:tcBorders>
            <w:vAlign w:val="center"/>
          </w:tcPr>
          <w:p w14:paraId="7ED6D103" w14:textId="77777777" w:rsidR="009F58BE" w:rsidRPr="000A7FD1" w:rsidRDefault="009F58BE" w:rsidP="00B46317">
            <w:pPr>
              <w:spacing w:before="60" w:after="60"/>
              <w:jc w:val="center"/>
            </w:pPr>
          </w:p>
        </w:tc>
        <w:tc>
          <w:tcPr>
            <w:tcW w:w="1260" w:type="dxa"/>
            <w:tcBorders>
              <w:left w:val="single" w:sz="4" w:space="0" w:color="auto"/>
              <w:right w:val="single" w:sz="4" w:space="0" w:color="auto"/>
            </w:tcBorders>
            <w:vAlign w:val="center"/>
          </w:tcPr>
          <w:p w14:paraId="121D4E03" w14:textId="77777777" w:rsidR="009F58BE" w:rsidRPr="000A7FD1" w:rsidRDefault="009F58BE" w:rsidP="00B46317">
            <w:pPr>
              <w:spacing w:before="60" w:after="60"/>
              <w:jc w:val="center"/>
            </w:pPr>
          </w:p>
        </w:tc>
        <w:tc>
          <w:tcPr>
            <w:tcW w:w="1170" w:type="dxa"/>
            <w:tcBorders>
              <w:left w:val="single" w:sz="4" w:space="0" w:color="auto"/>
              <w:right w:val="single" w:sz="4" w:space="0" w:color="auto"/>
            </w:tcBorders>
            <w:vAlign w:val="center"/>
          </w:tcPr>
          <w:p w14:paraId="09468E8D" w14:textId="77777777" w:rsidR="009F58BE" w:rsidRPr="000A7FD1" w:rsidRDefault="009F58BE" w:rsidP="00B46317">
            <w:pPr>
              <w:spacing w:before="60" w:after="60"/>
              <w:jc w:val="center"/>
            </w:pPr>
          </w:p>
        </w:tc>
        <w:tc>
          <w:tcPr>
            <w:tcW w:w="1260" w:type="dxa"/>
            <w:tcBorders>
              <w:left w:val="single" w:sz="4" w:space="0" w:color="auto"/>
              <w:right w:val="single" w:sz="4" w:space="0" w:color="auto"/>
            </w:tcBorders>
            <w:vAlign w:val="center"/>
          </w:tcPr>
          <w:p w14:paraId="72D7794E" w14:textId="77777777" w:rsidR="009F58BE" w:rsidRPr="000A7FD1" w:rsidRDefault="009F58BE" w:rsidP="00B46317">
            <w:pPr>
              <w:spacing w:before="60" w:after="60"/>
              <w:jc w:val="center"/>
            </w:pPr>
          </w:p>
        </w:tc>
        <w:tc>
          <w:tcPr>
            <w:tcW w:w="1397" w:type="dxa"/>
            <w:tcBorders>
              <w:left w:val="single" w:sz="4" w:space="0" w:color="auto"/>
              <w:right w:val="double" w:sz="6" w:space="0" w:color="000000"/>
            </w:tcBorders>
            <w:vAlign w:val="center"/>
          </w:tcPr>
          <w:p w14:paraId="4F55AD7B" w14:textId="77777777" w:rsidR="009F58BE" w:rsidRPr="000A7FD1" w:rsidRDefault="009F58BE" w:rsidP="00B46317">
            <w:pPr>
              <w:spacing w:before="60" w:after="60"/>
              <w:jc w:val="center"/>
            </w:pPr>
          </w:p>
        </w:tc>
      </w:tr>
      <w:tr w:rsidR="009F58BE" w:rsidRPr="000A7FD1" w14:paraId="2271267A" w14:textId="77777777" w:rsidTr="00B46317">
        <w:tc>
          <w:tcPr>
            <w:tcW w:w="3330" w:type="dxa"/>
            <w:tcBorders>
              <w:left w:val="double" w:sz="6" w:space="0" w:color="000000"/>
              <w:right w:val="double" w:sz="6" w:space="0" w:color="000000"/>
            </w:tcBorders>
          </w:tcPr>
          <w:p w14:paraId="386B2082" w14:textId="77777777" w:rsidR="009F58BE" w:rsidRPr="000A7FD1" w:rsidRDefault="009F58BE" w:rsidP="00B46317">
            <w:pPr>
              <w:spacing w:before="60" w:after="60"/>
            </w:pPr>
            <w:r w:rsidRPr="000A7FD1">
              <w:t xml:space="preserve">  Billing</w:t>
            </w:r>
          </w:p>
        </w:tc>
        <w:tc>
          <w:tcPr>
            <w:tcW w:w="1080" w:type="dxa"/>
            <w:tcBorders>
              <w:left w:val="double" w:sz="6" w:space="0" w:color="000000"/>
              <w:right w:val="single" w:sz="4" w:space="0" w:color="auto"/>
            </w:tcBorders>
            <w:vAlign w:val="center"/>
          </w:tcPr>
          <w:p w14:paraId="00CAE6AF" w14:textId="77777777" w:rsidR="009F58BE" w:rsidRPr="000A7FD1" w:rsidRDefault="009F58BE" w:rsidP="00B46317">
            <w:pPr>
              <w:spacing w:before="60" w:after="60"/>
              <w:jc w:val="center"/>
            </w:pPr>
          </w:p>
        </w:tc>
        <w:tc>
          <w:tcPr>
            <w:tcW w:w="1440" w:type="dxa"/>
            <w:tcBorders>
              <w:left w:val="single" w:sz="4" w:space="0" w:color="auto"/>
              <w:right w:val="single" w:sz="4" w:space="0" w:color="auto"/>
            </w:tcBorders>
            <w:vAlign w:val="center"/>
          </w:tcPr>
          <w:p w14:paraId="030077AF" w14:textId="77777777" w:rsidR="009F58BE" w:rsidRPr="000A7FD1" w:rsidRDefault="009F58BE" w:rsidP="00B46317">
            <w:pPr>
              <w:spacing w:before="60" w:after="60"/>
              <w:jc w:val="center"/>
            </w:pPr>
            <w:r w:rsidRPr="000A7FD1">
              <w:t>X</w:t>
            </w:r>
          </w:p>
        </w:tc>
        <w:tc>
          <w:tcPr>
            <w:tcW w:w="1350" w:type="dxa"/>
            <w:tcBorders>
              <w:left w:val="single" w:sz="4" w:space="0" w:color="auto"/>
              <w:right w:val="single" w:sz="4" w:space="0" w:color="auto"/>
            </w:tcBorders>
            <w:vAlign w:val="center"/>
          </w:tcPr>
          <w:p w14:paraId="43FC1937" w14:textId="77777777" w:rsidR="009F58BE" w:rsidRPr="000A7FD1" w:rsidRDefault="009F58BE" w:rsidP="00B46317">
            <w:pPr>
              <w:spacing w:before="60" w:after="60"/>
              <w:jc w:val="center"/>
            </w:pPr>
          </w:p>
        </w:tc>
        <w:tc>
          <w:tcPr>
            <w:tcW w:w="1170" w:type="dxa"/>
            <w:tcBorders>
              <w:left w:val="single" w:sz="4" w:space="0" w:color="auto"/>
              <w:right w:val="single" w:sz="4" w:space="0" w:color="auto"/>
            </w:tcBorders>
            <w:vAlign w:val="center"/>
          </w:tcPr>
          <w:p w14:paraId="39603180" w14:textId="77777777" w:rsidR="009F58BE" w:rsidRPr="000A7FD1" w:rsidRDefault="009F58BE" w:rsidP="00B46317">
            <w:pPr>
              <w:spacing w:before="60" w:after="60"/>
              <w:jc w:val="center"/>
            </w:pPr>
          </w:p>
        </w:tc>
        <w:tc>
          <w:tcPr>
            <w:tcW w:w="1260" w:type="dxa"/>
            <w:tcBorders>
              <w:left w:val="single" w:sz="4" w:space="0" w:color="auto"/>
              <w:right w:val="single" w:sz="4" w:space="0" w:color="auto"/>
            </w:tcBorders>
            <w:vAlign w:val="center"/>
          </w:tcPr>
          <w:p w14:paraId="3A57D6EA" w14:textId="77777777" w:rsidR="009F58BE" w:rsidRPr="000A7FD1" w:rsidRDefault="009F58BE" w:rsidP="00B46317">
            <w:pPr>
              <w:spacing w:before="60" w:after="60"/>
              <w:jc w:val="center"/>
            </w:pPr>
          </w:p>
        </w:tc>
        <w:tc>
          <w:tcPr>
            <w:tcW w:w="1170" w:type="dxa"/>
            <w:tcBorders>
              <w:left w:val="single" w:sz="4" w:space="0" w:color="auto"/>
              <w:right w:val="single" w:sz="4" w:space="0" w:color="auto"/>
            </w:tcBorders>
            <w:vAlign w:val="center"/>
          </w:tcPr>
          <w:p w14:paraId="56DC998F" w14:textId="77777777" w:rsidR="009F58BE" w:rsidRPr="000A7FD1" w:rsidRDefault="009F58BE" w:rsidP="00B46317">
            <w:pPr>
              <w:spacing w:before="60" w:after="60"/>
              <w:jc w:val="center"/>
            </w:pPr>
            <w:r w:rsidRPr="000A7FD1">
              <w:t>X</w:t>
            </w:r>
          </w:p>
        </w:tc>
        <w:tc>
          <w:tcPr>
            <w:tcW w:w="1260" w:type="dxa"/>
            <w:tcBorders>
              <w:left w:val="single" w:sz="4" w:space="0" w:color="auto"/>
              <w:right w:val="single" w:sz="4" w:space="0" w:color="auto"/>
            </w:tcBorders>
            <w:vAlign w:val="center"/>
          </w:tcPr>
          <w:p w14:paraId="67FBF8E2" w14:textId="77777777" w:rsidR="009F58BE" w:rsidRPr="000A7FD1" w:rsidRDefault="009F58BE" w:rsidP="00B46317">
            <w:pPr>
              <w:spacing w:before="60" w:after="60"/>
              <w:jc w:val="center"/>
            </w:pPr>
          </w:p>
        </w:tc>
        <w:tc>
          <w:tcPr>
            <w:tcW w:w="1397" w:type="dxa"/>
            <w:tcBorders>
              <w:left w:val="single" w:sz="4" w:space="0" w:color="auto"/>
              <w:right w:val="double" w:sz="6" w:space="0" w:color="000000"/>
            </w:tcBorders>
            <w:vAlign w:val="center"/>
          </w:tcPr>
          <w:p w14:paraId="4887F28F" w14:textId="77777777" w:rsidR="009F58BE" w:rsidRPr="000A7FD1" w:rsidRDefault="009F58BE" w:rsidP="00B46317">
            <w:pPr>
              <w:spacing w:before="60" w:after="60"/>
              <w:jc w:val="center"/>
            </w:pPr>
          </w:p>
        </w:tc>
      </w:tr>
      <w:tr w:rsidR="009F58BE" w:rsidRPr="000A7FD1" w14:paraId="3DD043BE" w14:textId="77777777" w:rsidTr="00B46317">
        <w:tc>
          <w:tcPr>
            <w:tcW w:w="3330" w:type="dxa"/>
            <w:tcBorders>
              <w:left w:val="double" w:sz="6" w:space="0" w:color="000000"/>
              <w:right w:val="double" w:sz="6" w:space="0" w:color="000000"/>
            </w:tcBorders>
          </w:tcPr>
          <w:p w14:paraId="69DDD795" w14:textId="77777777" w:rsidR="009F58BE" w:rsidRPr="000A7FD1" w:rsidRDefault="009F58BE" w:rsidP="00B46317">
            <w:pPr>
              <w:spacing w:before="60" w:after="60"/>
            </w:pPr>
            <w:r w:rsidRPr="000A7FD1">
              <w:t xml:space="preserve">  Cash Receipts</w:t>
            </w:r>
          </w:p>
        </w:tc>
        <w:tc>
          <w:tcPr>
            <w:tcW w:w="1080" w:type="dxa"/>
            <w:tcBorders>
              <w:left w:val="double" w:sz="6" w:space="0" w:color="000000"/>
              <w:right w:val="single" w:sz="4" w:space="0" w:color="auto"/>
            </w:tcBorders>
            <w:vAlign w:val="center"/>
          </w:tcPr>
          <w:p w14:paraId="7EA450FB" w14:textId="77777777" w:rsidR="009F58BE" w:rsidRPr="000A7FD1" w:rsidRDefault="009F58BE" w:rsidP="00B46317">
            <w:pPr>
              <w:spacing w:before="60" w:after="60"/>
              <w:jc w:val="center"/>
            </w:pPr>
            <w:r w:rsidRPr="000A7FD1">
              <w:t>X</w:t>
            </w:r>
          </w:p>
        </w:tc>
        <w:tc>
          <w:tcPr>
            <w:tcW w:w="1440" w:type="dxa"/>
            <w:tcBorders>
              <w:left w:val="single" w:sz="4" w:space="0" w:color="auto"/>
              <w:right w:val="single" w:sz="4" w:space="0" w:color="auto"/>
            </w:tcBorders>
            <w:vAlign w:val="center"/>
          </w:tcPr>
          <w:p w14:paraId="00C3B5EF" w14:textId="77777777" w:rsidR="009F58BE" w:rsidRPr="000A7FD1" w:rsidRDefault="009F58BE" w:rsidP="00B46317">
            <w:pPr>
              <w:spacing w:before="60" w:after="60"/>
              <w:jc w:val="center"/>
            </w:pPr>
            <w:r w:rsidRPr="000A7FD1">
              <w:t>X</w:t>
            </w:r>
          </w:p>
        </w:tc>
        <w:tc>
          <w:tcPr>
            <w:tcW w:w="1350" w:type="dxa"/>
            <w:tcBorders>
              <w:left w:val="single" w:sz="4" w:space="0" w:color="auto"/>
              <w:right w:val="single" w:sz="4" w:space="0" w:color="auto"/>
            </w:tcBorders>
            <w:vAlign w:val="center"/>
          </w:tcPr>
          <w:p w14:paraId="6F2731F7" w14:textId="77777777" w:rsidR="009F58BE" w:rsidRPr="000A7FD1" w:rsidRDefault="009F58BE" w:rsidP="00B46317">
            <w:pPr>
              <w:spacing w:before="60" w:after="60"/>
              <w:jc w:val="center"/>
            </w:pPr>
          </w:p>
        </w:tc>
        <w:tc>
          <w:tcPr>
            <w:tcW w:w="1170" w:type="dxa"/>
            <w:tcBorders>
              <w:left w:val="single" w:sz="4" w:space="0" w:color="auto"/>
              <w:right w:val="single" w:sz="4" w:space="0" w:color="auto"/>
            </w:tcBorders>
            <w:vAlign w:val="center"/>
          </w:tcPr>
          <w:p w14:paraId="4DB4CE03" w14:textId="77777777" w:rsidR="009F58BE" w:rsidRPr="000A7FD1" w:rsidRDefault="009F58BE" w:rsidP="00B46317">
            <w:pPr>
              <w:spacing w:before="60" w:after="60"/>
              <w:jc w:val="center"/>
            </w:pPr>
          </w:p>
        </w:tc>
        <w:tc>
          <w:tcPr>
            <w:tcW w:w="1260" w:type="dxa"/>
            <w:tcBorders>
              <w:left w:val="single" w:sz="4" w:space="0" w:color="auto"/>
              <w:right w:val="single" w:sz="4" w:space="0" w:color="auto"/>
            </w:tcBorders>
            <w:vAlign w:val="center"/>
          </w:tcPr>
          <w:p w14:paraId="2C502315" w14:textId="77777777" w:rsidR="009F58BE" w:rsidRPr="000A7FD1" w:rsidRDefault="009F58BE" w:rsidP="00B46317">
            <w:pPr>
              <w:spacing w:before="60" w:after="60"/>
              <w:jc w:val="center"/>
            </w:pPr>
          </w:p>
        </w:tc>
        <w:tc>
          <w:tcPr>
            <w:tcW w:w="1170" w:type="dxa"/>
            <w:tcBorders>
              <w:left w:val="single" w:sz="4" w:space="0" w:color="auto"/>
              <w:right w:val="single" w:sz="4" w:space="0" w:color="auto"/>
            </w:tcBorders>
            <w:vAlign w:val="center"/>
          </w:tcPr>
          <w:p w14:paraId="195E95E0" w14:textId="77777777" w:rsidR="009F58BE" w:rsidRPr="000A7FD1" w:rsidRDefault="009F58BE" w:rsidP="00B46317">
            <w:pPr>
              <w:spacing w:before="60" w:after="60"/>
              <w:jc w:val="center"/>
            </w:pPr>
            <w:r w:rsidRPr="000A7FD1">
              <w:t>X</w:t>
            </w:r>
          </w:p>
        </w:tc>
        <w:tc>
          <w:tcPr>
            <w:tcW w:w="1260" w:type="dxa"/>
            <w:tcBorders>
              <w:left w:val="single" w:sz="4" w:space="0" w:color="auto"/>
              <w:right w:val="single" w:sz="4" w:space="0" w:color="auto"/>
            </w:tcBorders>
            <w:vAlign w:val="center"/>
          </w:tcPr>
          <w:p w14:paraId="5CA88385" w14:textId="77777777" w:rsidR="009F58BE" w:rsidRPr="000A7FD1" w:rsidRDefault="009F58BE" w:rsidP="00B46317">
            <w:pPr>
              <w:spacing w:before="60" w:after="60"/>
              <w:jc w:val="center"/>
            </w:pPr>
          </w:p>
        </w:tc>
        <w:tc>
          <w:tcPr>
            <w:tcW w:w="1397" w:type="dxa"/>
            <w:tcBorders>
              <w:left w:val="single" w:sz="4" w:space="0" w:color="auto"/>
              <w:right w:val="double" w:sz="6" w:space="0" w:color="000000"/>
            </w:tcBorders>
            <w:vAlign w:val="center"/>
          </w:tcPr>
          <w:p w14:paraId="47CA7AA7" w14:textId="77777777" w:rsidR="009F58BE" w:rsidRPr="000A7FD1" w:rsidRDefault="009F58BE" w:rsidP="00B46317">
            <w:pPr>
              <w:spacing w:before="60" w:after="60"/>
              <w:jc w:val="center"/>
            </w:pPr>
          </w:p>
        </w:tc>
      </w:tr>
      <w:tr w:rsidR="009F58BE" w:rsidRPr="000A7FD1" w14:paraId="455B0C91" w14:textId="77777777" w:rsidTr="00B46317">
        <w:tc>
          <w:tcPr>
            <w:tcW w:w="3330" w:type="dxa"/>
            <w:tcBorders>
              <w:left w:val="double" w:sz="6" w:space="0" w:color="000000"/>
              <w:right w:val="double" w:sz="6" w:space="0" w:color="000000"/>
            </w:tcBorders>
          </w:tcPr>
          <w:p w14:paraId="79C39926" w14:textId="77777777" w:rsidR="009F58BE" w:rsidRPr="000A7FD1" w:rsidRDefault="009F58BE" w:rsidP="00B46317">
            <w:pPr>
              <w:spacing w:before="60" w:after="60"/>
            </w:pPr>
            <w:r w:rsidRPr="000A7FD1">
              <w:t xml:space="preserve">  Purchasing</w:t>
            </w:r>
          </w:p>
        </w:tc>
        <w:tc>
          <w:tcPr>
            <w:tcW w:w="1080" w:type="dxa"/>
            <w:tcBorders>
              <w:left w:val="double" w:sz="6" w:space="0" w:color="000000"/>
              <w:right w:val="single" w:sz="4" w:space="0" w:color="auto"/>
            </w:tcBorders>
            <w:vAlign w:val="center"/>
          </w:tcPr>
          <w:p w14:paraId="5FD751CC" w14:textId="77777777" w:rsidR="009F58BE" w:rsidRPr="000A7FD1" w:rsidRDefault="009F58BE" w:rsidP="00B46317">
            <w:pPr>
              <w:spacing w:before="60" w:after="60"/>
              <w:jc w:val="center"/>
            </w:pPr>
          </w:p>
        </w:tc>
        <w:tc>
          <w:tcPr>
            <w:tcW w:w="1440" w:type="dxa"/>
            <w:tcBorders>
              <w:left w:val="single" w:sz="4" w:space="0" w:color="auto"/>
              <w:right w:val="single" w:sz="4" w:space="0" w:color="auto"/>
            </w:tcBorders>
            <w:vAlign w:val="center"/>
          </w:tcPr>
          <w:p w14:paraId="6269D6D9" w14:textId="77777777" w:rsidR="009F58BE" w:rsidRPr="000A7FD1" w:rsidRDefault="009F58BE" w:rsidP="00B46317">
            <w:pPr>
              <w:spacing w:before="60" w:after="60"/>
              <w:jc w:val="center"/>
            </w:pPr>
          </w:p>
        </w:tc>
        <w:tc>
          <w:tcPr>
            <w:tcW w:w="1350" w:type="dxa"/>
            <w:tcBorders>
              <w:left w:val="single" w:sz="4" w:space="0" w:color="auto"/>
              <w:right w:val="single" w:sz="4" w:space="0" w:color="auto"/>
            </w:tcBorders>
            <w:vAlign w:val="center"/>
          </w:tcPr>
          <w:p w14:paraId="11643793" w14:textId="77777777" w:rsidR="009F58BE" w:rsidRPr="000A7FD1" w:rsidRDefault="009F58BE" w:rsidP="00B46317">
            <w:pPr>
              <w:spacing w:before="60" w:after="60"/>
              <w:jc w:val="center"/>
            </w:pPr>
            <w:r w:rsidRPr="000A7FD1">
              <w:t>X</w:t>
            </w:r>
          </w:p>
        </w:tc>
        <w:tc>
          <w:tcPr>
            <w:tcW w:w="1170" w:type="dxa"/>
            <w:tcBorders>
              <w:left w:val="single" w:sz="4" w:space="0" w:color="auto"/>
              <w:right w:val="single" w:sz="4" w:space="0" w:color="auto"/>
            </w:tcBorders>
            <w:vAlign w:val="center"/>
          </w:tcPr>
          <w:p w14:paraId="4CB4B5BA" w14:textId="77777777" w:rsidR="009F58BE" w:rsidRPr="000A7FD1" w:rsidRDefault="009F58BE" w:rsidP="00B46317">
            <w:pPr>
              <w:spacing w:before="60" w:after="60"/>
              <w:jc w:val="center"/>
            </w:pPr>
            <w:r w:rsidRPr="000A7FD1">
              <w:t>X</w:t>
            </w:r>
          </w:p>
        </w:tc>
        <w:tc>
          <w:tcPr>
            <w:tcW w:w="1260" w:type="dxa"/>
            <w:tcBorders>
              <w:left w:val="single" w:sz="4" w:space="0" w:color="auto"/>
              <w:right w:val="single" w:sz="4" w:space="0" w:color="auto"/>
            </w:tcBorders>
            <w:vAlign w:val="center"/>
          </w:tcPr>
          <w:p w14:paraId="4BAC8AAB" w14:textId="77777777" w:rsidR="009F58BE" w:rsidRPr="000A7FD1" w:rsidRDefault="009F58BE" w:rsidP="00B46317">
            <w:pPr>
              <w:spacing w:before="60" w:after="60"/>
              <w:jc w:val="center"/>
            </w:pPr>
            <w:r w:rsidRPr="000A7FD1">
              <w:t>X</w:t>
            </w:r>
          </w:p>
        </w:tc>
        <w:tc>
          <w:tcPr>
            <w:tcW w:w="1170" w:type="dxa"/>
            <w:tcBorders>
              <w:left w:val="single" w:sz="4" w:space="0" w:color="auto"/>
              <w:right w:val="single" w:sz="4" w:space="0" w:color="auto"/>
            </w:tcBorders>
            <w:vAlign w:val="center"/>
          </w:tcPr>
          <w:p w14:paraId="3550A3C1" w14:textId="77777777" w:rsidR="009F58BE" w:rsidRPr="000A7FD1" w:rsidRDefault="009F58BE" w:rsidP="00B46317">
            <w:pPr>
              <w:spacing w:before="60" w:after="60"/>
              <w:jc w:val="center"/>
            </w:pPr>
          </w:p>
        </w:tc>
        <w:tc>
          <w:tcPr>
            <w:tcW w:w="1260" w:type="dxa"/>
            <w:tcBorders>
              <w:left w:val="single" w:sz="4" w:space="0" w:color="auto"/>
              <w:right w:val="single" w:sz="4" w:space="0" w:color="auto"/>
            </w:tcBorders>
            <w:vAlign w:val="center"/>
          </w:tcPr>
          <w:p w14:paraId="71A6F096" w14:textId="77777777" w:rsidR="009F58BE" w:rsidRPr="000A7FD1" w:rsidRDefault="009F58BE" w:rsidP="00B46317">
            <w:pPr>
              <w:spacing w:before="60" w:after="60"/>
              <w:jc w:val="center"/>
            </w:pPr>
            <w:r w:rsidRPr="000A7FD1">
              <w:t>X</w:t>
            </w:r>
          </w:p>
        </w:tc>
        <w:tc>
          <w:tcPr>
            <w:tcW w:w="1397" w:type="dxa"/>
            <w:tcBorders>
              <w:left w:val="single" w:sz="4" w:space="0" w:color="auto"/>
              <w:right w:val="double" w:sz="6" w:space="0" w:color="000000"/>
            </w:tcBorders>
            <w:vAlign w:val="center"/>
          </w:tcPr>
          <w:p w14:paraId="2C68A3A7" w14:textId="77777777" w:rsidR="009F58BE" w:rsidRPr="000A7FD1" w:rsidRDefault="009F58BE" w:rsidP="00B46317">
            <w:pPr>
              <w:spacing w:before="60" w:after="60"/>
              <w:jc w:val="center"/>
            </w:pPr>
            <w:r w:rsidRPr="000A7FD1">
              <w:t>X</w:t>
            </w:r>
          </w:p>
        </w:tc>
      </w:tr>
      <w:tr w:rsidR="009F58BE" w:rsidRPr="000A7FD1" w14:paraId="1D3EAC8A" w14:textId="77777777" w:rsidTr="00B46317">
        <w:tc>
          <w:tcPr>
            <w:tcW w:w="3330" w:type="dxa"/>
            <w:tcBorders>
              <w:left w:val="double" w:sz="6" w:space="0" w:color="000000"/>
              <w:right w:val="double" w:sz="6" w:space="0" w:color="000000"/>
            </w:tcBorders>
          </w:tcPr>
          <w:p w14:paraId="50FDFAC7" w14:textId="77777777" w:rsidR="009F58BE" w:rsidRPr="000A7FD1" w:rsidRDefault="009F58BE" w:rsidP="00B46317">
            <w:pPr>
              <w:spacing w:before="60" w:after="60"/>
            </w:pPr>
            <w:r w:rsidRPr="000A7FD1">
              <w:t xml:space="preserve">  Cash Disbursements</w:t>
            </w:r>
          </w:p>
        </w:tc>
        <w:tc>
          <w:tcPr>
            <w:tcW w:w="1080" w:type="dxa"/>
            <w:tcBorders>
              <w:left w:val="double" w:sz="6" w:space="0" w:color="000000"/>
              <w:right w:val="single" w:sz="4" w:space="0" w:color="auto"/>
            </w:tcBorders>
            <w:vAlign w:val="center"/>
          </w:tcPr>
          <w:p w14:paraId="3A8A97E8" w14:textId="77777777" w:rsidR="009F58BE" w:rsidRPr="000A7FD1" w:rsidRDefault="009F58BE" w:rsidP="00B46317">
            <w:pPr>
              <w:spacing w:before="60" w:after="60"/>
              <w:jc w:val="center"/>
            </w:pPr>
            <w:r w:rsidRPr="000A7FD1">
              <w:t>X</w:t>
            </w:r>
          </w:p>
        </w:tc>
        <w:tc>
          <w:tcPr>
            <w:tcW w:w="1440" w:type="dxa"/>
            <w:tcBorders>
              <w:left w:val="single" w:sz="4" w:space="0" w:color="auto"/>
              <w:right w:val="single" w:sz="4" w:space="0" w:color="auto"/>
            </w:tcBorders>
            <w:vAlign w:val="center"/>
          </w:tcPr>
          <w:p w14:paraId="71F28388" w14:textId="77777777" w:rsidR="009F58BE" w:rsidRPr="000A7FD1" w:rsidRDefault="009F58BE" w:rsidP="00B46317">
            <w:pPr>
              <w:spacing w:before="60" w:after="60"/>
              <w:jc w:val="center"/>
            </w:pPr>
          </w:p>
        </w:tc>
        <w:tc>
          <w:tcPr>
            <w:tcW w:w="1350" w:type="dxa"/>
            <w:tcBorders>
              <w:left w:val="single" w:sz="4" w:space="0" w:color="auto"/>
              <w:right w:val="single" w:sz="4" w:space="0" w:color="auto"/>
            </w:tcBorders>
            <w:vAlign w:val="center"/>
          </w:tcPr>
          <w:p w14:paraId="7FACF9F4" w14:textId="77777777" w:rsidR="009F58BE" w:rsidRPr="000A7FD1" w:rsidRDefault="009F58BE" w:rsidP="00B46317">
            <w:pPr>
              <w:spacing w:before="60" w:after="60"/>
              <w:jc w:val="center"/>
            </w:pPr>
            <w:r w:rsidRPr="000A7FD1">
              <w:t>X</w:t>
            </w:r>
          </w:p>
        </w:tc>
        <w:tc>
          <w:tcPr>
            <w:tcW w:w="1170" w:type="dxa"/>
            <w:tcBorders>
              <w:left w:val="single" w:sz="4" w:space="0" w:color="auto"/>
              <w:right w:val="single" w:sz="4" w:space="0" w:color="auto"/>
            </w:tcBorders>
            <w:vAlign w:val="center"/>
          </w:tcPr>
          <w:p w14:paraId="29FE0818" w14:textId="77777777" w:rsidR="009F58BE" w:rsidRPr="000A7FD1" w:rsidRDefault="009F58BE" w:rsidP="00B46317">
            <w:pPr>
              <w:spacing w:before="60" w:after="60"/>
              <w:jc w:val="center"/>
            </w:pPr>
            <w:r w:rsidRPr="000A7FD1">
              <w:t>X</w:t>
            </w:r>
          </w:p>
        </w:tc>
        <w:tc>
          <w:tcPr>
            <w:tcW w:w="1260" w:type="dxa"/>
            <w:tcBorders>
              <w:left w:val="single" w:sz="4" w:space="0" w:color="auto"/>
              <w:right w:val="single" w:sz="4" w:space="0" w:color="auto"/>
            </w:tcBorders>
            <w:vAlign w:val="center"/>
          </w:tcPr>
          <w:p w14:paraId="11893D57" w14:textId="77777777" w:rsidR="009F58BE" w:rsidRPr="000A7FD1" w:rsidRDefault="009F58BE" w:rsidP="00B46317">
            <w:pPr>
              <w:spacing w:before="60" w:after="60"/>
              <w:jc w:val="center"/>
            </w:pPr>
            <w:r w:rsidRPr="000A7FD1">
              <w:t>X</w:t>
            </w:r>
          </w:p>
        </w:tc>
        <w:tc>
          <w:tcPr>
            <w:tcW w:w="1170" w:type="dxa"/>
            <w:tcBorders>
              <w:left w:val="single" w:sz="4" w:space="0" w:color="auto"/>
              <w:right w:val="single" w:sz="4" w:space="0" w:color="auto"/>
            </w:tcBorders>
            <w:vAlign w:val="center"/>
          </w:tcPr>
          <w:p w14:paraId="5902E40F" w14:textId="77777777" w:rsidR="009F58BE" w:rsidRPr="000A7FD1" w:rsidRDefault="009F58BE" w:rsidP="00B46317">
            <w:pPr>
              <w:spacing w:before="60" w:after="60"/>
              <w:jc w:val="center"/>
            </w:pPr>
          </w:p>
        </w:tc>
        <w:tc>
          <w:tcPr>
            <w:tcW w:w="1260" w:type="dxa"/>
            <w:tcBorders>
              <w:left w:val="single" w:sz="4" w:space="0" w:color="auto"/>
              <w:right w:val="single" w:sz="4" w:space="0" w:color="auto"/>
            </w:tcBorders>
            <w:vAlign w:val="center"/>
          </w:tcPr>
          <w:p w14:paraId="5EF3E8CA" w14:textId="77777777" w:rsidR="009F58BE" w:rsidRPr="000A7FD1" w:rsidRDefault="009F58BE" w:rsidP="00B46317">
            <w:pPr>
              <w:spacing w:before="60" w:after="60"/>
              <w:jc w:val="center"/>
            </w:pPr>
            <w:r w:rsidRPr="000A7FD1">
              <w:t>X</w:t>
            </w:r>
          </w:p>
        </w:tc>
        <w:tc>
          <w:tcPr>
            <w:tcW w:w="1397" w:type="dxa"/>
            <w:tcBorders>
              <w:left w:val="single" w:sz="4" w:space="0" w:color="auto"/>
              <w:right w:val="double" w:sz="6" w:space="0" w:color="000000"/>
            </w:tcBorders>
            <w:vAlign w:val="center"/>
          </w:tcPr>
          <w:p w14:paraId="4E368950" w14:textId="77777777" w:rsidR="009F58BE" w:rsidRPr="000A7FD1" w:rsidRDefault="009F58BE" w:rsidP="00B46317">
            <w:pPr>
              <w:spacing w:before="60" w:after="60"/>
              <w:jc w:val="center"/>
            </w:pPr>
            <w:r w:rsidRPr="000A7FD1">
              <w:t>X</w:t>
            </w:r>
          </w:p>
        </w:tc>
      </w:tr>
      <w:tr w:rsidR="009F58BE" w:rsidRPr="000A7FD1" w14:paraId="10F7BE8B" w14:textId="77777777" w:rsidTr="00B46317">
        <w:tc>
          <w:tcPr>
            <w:tcW w:w="3330" w:type="dxa"/>
            <w:tcBorders>
              <w:left w:val="double" w:sz="6" w:space="0" w:color="000000"/>
              <w:right w:val="double" w:sz="6" w:space="0" w:color="000000"/>
            </w:tcBorders>
          </w:tcPr>
          <w:p w14:paraId="086DE1E2" w14:textId="77777777" w:rsidR="009F58BE" w:rsidRPr="000A7FD1" w:rsidRDefault="009F58BE" w:rsidP="00B46317">
            <w:pPr>
              <w:spacing w:before="60" w:after="60"/>
            </w:pPr>
            <w:r w:rsidRPr="000A7FD1">
              <w:t xml:space="preserve">  Payroll Accruals</w:t>
            </w:r>
          </w:p>
        </w:tc>
        <w:tc>
          <w:tcPr>
            <w:tcW w:w="1080" w:type="dxa"/>
            <w:tcBorders>
              <w:left w:val="double" w:sz="6" w:space="0" w:color="000000"/>
              <w:right w:val="single" w:sz="4" w:space="0" w:color="auto"/>
            </w:tcBorders>
            <w:vAlign w:val="center"/>
          </w:tcPr>
          <w:p w14:paraId="7A7F53F8" w14:textId="77777777" w:rsidR="009F58BE" w:rsidRPr="000A7FD1" w:rsidRDefault="009F58BE" w:rsidP="00B46317">
            <w:pPr>
              <w:spacing w:before="60" w:after="60"/>
              <w:jc w:val="center"/>
            </w:pPr>
          </w:p>
        </w:tc>
        <w:tc>
          <w:tcPr>
            <w:tcW w:w="1440" w:type="dxa"/>
            <w:tcBorders>
              <w:left w:val="single" w:sz="4" w:space="0" w:color="auto"/>
              <w:right w:val="single" w:sz="4" w:space="0" w:color="auto"/>
            </w:tcBorders>
            <w:vAlign w:val="center"/>
          </w:tcPr>
          <w:p w14:paraId="01C54C21" w14:textId="77777777" w:rsidR="009F58BE" w:rsidRPr="000A7FD1" w:rsidRDefault="009F58BE" w:rsidP="00B46317">
            <w:pPr>
              <w:spacing w:before="60" w:after="60"/>
              <w:jc w:val="center"/>
            </w:pPr>
          </w:p>
        </w:tc>
        <w:tc>
          <w:tcPr>
            <w:tcW w:w="1350" w:type="dxa"/>
            <w:tcBorders>
              <w:left w:val="single" w:sz="4" w:space="0" w:color="auto"/>
              <w:right w:val="single" w:sz="4" w:space="0" w:color="auto"/>
            </w:tcBorders>
            <w:vAlign w:val="center"/>
          </w:tcPr>
          <w:p w14:paraId="09064B5C" w14:textId="77777777" w:rsidR="009F58BE" w:rsidRPr="000A7FD1" w:rsidRDefault="009F58BE" w:rsidP="00B46317">
            <w:pPr>
              <w:spacing w:before="60" w:after="60"/>
              <w:jc w:val="center"/>
            </w:pPr>
          </w:p>
        </w:tc>
        <w:tc>
          <w:tcPr>
            <w:tcW w:w="1170" w:type="dxa"/>
            <w:tcBorders>
              <w:left w:val="single" w:sz="4" w:space="0" w:color="auto"/>
              <w:right w:val="single" w:sz="4" w:space="0" w:color="auto"/>
            </w:tcBorders>
            <w:vAlign w:val="center"/>
          </w:tcPr>
          <w:p w14:paraId="5185B2D5" w14:textId="77777777" w:rsidR="009F58BE" w:rsidRPr="000A7FD1" w:rsidRDefault="009F58BE" w:rsidP="00B46317">
            <w:pPr>
              <w:spacing w:before="60" w:after="60"/>
              <w:jc w:val="center"/>
            </w:pPr>
          </w:p>
        </w:tc>
        <w:tc>
          <w:tcPr>
            <w:tcW w:w="1260" w:type="dxa"/>
            <w:tcBorders>
              <w:left w:val="single" w:sz="4" w:space="0" w:color="auto"/>
              <w:right w:val="single" w:sz="4" w:space="0" w:color="auto"/>
            </w:tcBorders>
            <w:vAlign w:val="center"/>
          </w:tcPr>
          <w:p w14:paraId="112A7EDF" w14:textId="77777777" w:rsidR="009F58BE" w:rsidRPr="000A7FD1" w:rsidRDefault="009F58BE" w:rsidP="00B46317">
            <w:pPr>
              <w:spacing w:before="60" w:after="60"/>
              <w:jc w:val="center"/>
            </w:pPr>
            <w:r w:rsidRPr="000A7FD1">
              <w:t>X</w:t>
            </w:r>
          </w:p>
        </w:tc>
        <w:tc>
          <w:tcPr>
            <w:tcW w:w="1170" w:type="dxa"/>
            <w:tcBorders>
              <w:left w:val="single" w:sz="4" w:space="0" w:color="auto"/>
              <w:right w:val="single" w:sz="4" w:space="0" w:color="auto"/>
            </w:tcBorders>
            <w:vAlign w:val="center"/>
          </w:tcPr>
          <w:p w14:paraId="2651F1FA" w14:textId="77777777" w:rsidR="009F58BE" w:rsidRPr="000A7FD1" w:rsidRDefault="009F58BE" w:rsidP="00B46317">
            <w:pPr>
              <w:spacing w:before="60" w:after="60"/>
              <w:jc w:val="center"/>
            </w:pPr>
          </w:p>
        </w:tc>
        <w:tc>
          <w:tcPr>
            <w:tcW w:w="1260" w:type="dxa"/>
            <w:tcBorders>
              <w:left w:val="single" w:sz="4" w:space="0" w:color="auto"/>
              <w:right w:val="single" w:sz="4" w:space="0" w:color="auto"/>
            </w:tcBorders>
            <w:vAlign w:val="center"/>
          </w:tcPr>
          <w:p w14:paraId="30BCC9CE" w14:textId="77777777" w:rsidR="009F58BE" w:rsidRPr="000A7FD1" w:rsidRDefault="009F58BE" w:rsidP="00B46317">
            <w:pPr>
              <w:spacing w:before="60" w:after="60"/>
              <w:jc w:val="center"/>
            </w:pPr>
            <w:r w:rsidRPr="000A7FD1">
              <w:t>X</w:t>
            </w:r>
          </w:p>
        </w:tc>
        <w:tc>
          <w:tcPr>
            <w:tcW w:w="1397" w:type="dxa"/>
            <w:tcBorders>
              <w:left w:val="single" w:sz="4" w:space="0" w:color="auto"/>
              <w:right w:val="double" w:sz="6" w:space="0" w:color="000000"/>
            </w:tcBorders>
            <w:vAlign w:val="center"/>
          </w:tcPr>
          <w:p w14:paraId="5596B056" w14:textId="77777777" w:rsidR="009F58BE" w:rsidRPr="000A7FD1" w:rsidRDefault="009F58BE" w:rsidP="00B46317">
            <w:pPr>
              <w:spacing w:before="60" w:after="60"/>
              <w:jc w:val="center"/>
            </w:pPr>
            <w:r w:rsidRPr="000A7FD1">
              <w:t>X</w:t>
            </w:r>
          </w:p>
        </w:tc>
      </w:tr>
      <w:tr w:rsidR="009F58BE" w:rsidRPr="000A7FD1" w14:paraId="5BCCFA09" w14:textId="77777777" w:rsidTr="00B46317">
        <w:tc>
          <w:tcPr>
            <w:tcW w:w="3330" w:type="dxa"/>
            <w:tcBorders>
              <w:left w:val="double" w:sz="6" w:space="0" w:color="000000"/>
              <w:right w:val="double" w:sz="6" w:space="0" w:color="000000"/>
            </w:tcBorders>
          </w:tcPr>
          <w:p w14:paraId="0B55922C" w14:textId="77777777" w:rsidR="009F58BE" w:rsidRPr="000A7FD1" w:rsidRDefault="009F58BE" w:rsidP="00B46317">
            <w:pPr>
              <w:spacing w:before="60" w:after="60"/>
              <w:rPr>
                <w:b/>
                <w:bCs/>
              </w:rPr>
            </w:pPr>
            <w:r w:rsidRPr="000A7FD1">
              <w:rPr>
                <w:b/>
                <w:bCs/>
              </w:rPr>
              <w:t>Line item/account related</w:t>
            </w:r>
          </w:p>
        </w:tc>
        <w:tc>
          <w:tcPr>
            <w:tcW w:w="1080" w:type="dxa"/>
            <w:tcBorders>
              <w:left w:val="double" w:sz="6" w:space="0" w:color="000000"/>
              <w:right w:val="single" w:sz="4" w:space="0" w:color="auto"/>
            </w:tcBorders>
            <w:vAlign w:val="center"/>
          </w:tcPr>
          <w:p w14:paraId="6CD553E2" w14:textId="77777777" w:rsidR="009F58BE" w:rsidRPr="000A7FD1" w:rsidRDefault="009F58BE" w:rsidP="00B46317">
            <w:pPr>
              <w:spacing w:before="60" w:after="60"/>
              <w:jc w:val="center"/>
            </w:pPr>
          </w:p>
        </w:tc>
        <w:tc>
          <w:tcPr>
            <w:tcW w:w="1440" w:type="dxa"/>
            <w:tcBorders>
              <w:left w:val="single" w:sz="4" w:space="0" w:color="auto"/>
              <w:right w:val="single" w:sz="4" w:space="0" w:color="auto"/>
            </w:tcBorders>
            <w:vAlign w:val="center"/>
          </w:tcPr>
          <w:p w14:paraId="4F000441" w14:textId="77777777" w:rsidR="009F58BE" w:rsidRPr="000A7FD1" w:rsidRDefault="009F58BE" w:rsidP="00B46317">
            <w:pPr>
              <w:spacing w:before="60" w:after="60"/>
              <w:jc w:val="center"/>
            </w:pPr>
          </w:p>
        </w:tc>
        <w:tc>
          <w:tcPr>
            <w:tcW w:w="1350" w:type="dxa"/>
            <w:tcBorders>
              <w:left w:val="single" w:sz="4" w:space="0" w:color="auto"/>
              <w:right w:val="single" w:sz="4" w:space="0" w:color="auto"/>
            </w:tcBorders>
            <w:vAlign w:val="center"/>
          </w:tcPr>
          <w:p w14:paraId="4EB014E5" w14:textId="77777777" w:rsidR="009F58BE" w:rsidRPr="000A7FD1" w:rsidRDefault="009F58BE" w:rsidP="00B46317">
            <w:pPr>
              <w:spacing w:before="60" w:after="60"/>
              <w:jc w:val="center"/>
            </w:pPr>
          </w:p>
        </w:tc>
        <w:tc>
          <w:tcPr>
            <w:tcW w:w="1170" w:type="dxa"/>
            <w:tcBorders>
              <w:left w:val="single" w:sz="4" w:space="0" w:color="auto"/>
              <w:right w:val="single" w:sz="4" w:space="0" w:color="auto"/>
            </w:tcBorders>
            <w:vAlign w:val="center"/>
          </w:tcPr>
          <w:p w14:paraId="541E6284" w14:textId="77777777" w:rsidR="009F58BE" w:rsidRPr="000A7FD1" w:rsidRDefault="009F58BE" w:rsidP="00B46317">
            <w:pPr>
              <w:spacing w:before="60" w:after="60"/>
              <w:jc w:val="center"/>
            </w:pPr>
          </w:p>
        </w:tc>
        <w:tc>
          <w:tcPr>
            <w:tcW w:w="1260" w:type="dxa"/>
            <w:tcBorders>
              <w:left w:val="single" w:sz="4" w:space="0" w:color="auto"/>
              <w:right w:val="single" w:sz="4" w:space="0" w:color="auto"/>
            </w:tcBorders>
            <w:vAlign w:val="center"/>
          </w:tcPr>
          <w:p w14:paraId="2CB64D2D" w14:textId="77777777" w:rsidR="009F58BE" w:rsidRPr="000A7FD1" w:rsidRDefault="009F58BE" w:rsidP="00B46317">
            <w:pPr>
              <w:spacing w:before="60" w:after="60"/>
              <w:jc w:val="center"/>
            </w:pPr>
          </w:p>
        </w:tc>
        <w:tc>
          <w:tcPr>
            <w:tcW w:w="1170" w:type="dxa"/>
            <w:tcBorders>
              <w:left w:val="single" w:sz="4" w:space="0" w:color="auto"/>
              <w:right w:val="single" w:sz="4" w:space="0" w:color="auto"/>
            </w:tcBorders>
            <w:vAlign w:val="center"/>
          </w:tcPr>
          <w:p w14:paraId="68BB8E6A" w14:textId="77777777" w:rsidR="009F58BE" w:rsidRPr="000A7FD1" w:rsidRDefault="009F58BE" w:rsidP="00B46317">
            <w:pPr>
              <w:spacing w:before="60" w:after="60"/>
              <w:jc w:val="center"/>
            </w:pPr>
          </w:p>
        </w:tc>
        <w:tc>
          <w:tcPr>
            <w:tcW w:w="1260" w:type="dxa"/>
            <w:tcBorders>
              <w:left w:val="single" w:sz="4" w:space="0" w:color="auto"/>
              <w:right w:val="single" w:sz="4" w:space="0" w:color="auto"/>
            </w:tcBorders>
            <w:vAlign w:val="center"/>
          </w:tcPr>
          <w:p w14:paraId="7E5354E4" w14:textId="77777777" w:rsidR="009F58BE" w:rsidRPr="000A7FD1" w:rsidRDefault="009F58BE" w:rsidP="00B46317">
            <w:pPr>
              <w:spacing w:before="60" w:after="60"/>
              <w:jc w:val="center"/>
            </w:pPr>
          </w:p>
        </w:tc>
        <w:tc>
          <w:tcPr>
            <w:tcW w:w="1397" w:type="dxa"/>
            <w:tcBorders>
              <w:left w:val="single" w:sz="4" w:space="0" w:color="auto"/>
              <w:right w:val="double" w:sz="6" w:space="0" w:color="000000"/>
            </w:tcBorders>
            <w:vAlign w:val="center"/>
          </w:tcPr>
          <w:p w14:paraId="5DECAD9B" w14:textId="77777777" w:rsidR="009F58BE" w:rsidRPr="000A7FD1" w:rsidRDefault="009F58BE" w:rsidP="00B46317">
            <w:pPr>
              <w:spacing w:before="60" w:after="60"/>
              <w:jc w:val="center"/>
            </w:pPr>
          </w:p>
        </w:tc>
      </w:tr>
      <w:tr w:rsidR="009F58BE" w:rsidRPr="000A7FD1" w14:paraId="57DB6EA1" w14:textId="77777777" w:rsidTr="00B46317">
        <w:tc>
          <w:tcPr>
            <w:tcW w:w="3330" w:type="dxa"/>
            <w:tcBorders>
              <w:left w:val="double" w:sz="6" w:space="0" w:color="000000"/>
              <w:right w:val="double" w:sz="6" w:space="0" w:color="000000"/>
            </w:tcBorders>
          </w:tcPr>
          <w:p w14:paraId="61A1063B" w14:textId="77777777" w:rsidR="009F58BE" w:rsidRPr="000A7FD1" w:rsidRDefault="009F58BE" w:rsidP="00B46317">
            <w:pPr>
              <w:spacing w:before="60" w:after="60"/>
            </w:pPr>
            <w:r w:rsidRPr="000A7FD1">
              <w:t xml:space="preserve">  Cash Balance</w:t>
            </w:r>
          </w:p>
        </w:tc>
        <w:tc>
          <w:tcPr>
            <w:tcW w:w="1080" w:type="dxa"/>
            <w:tcBorders>
              <w:left w:val="double" w:sz="6" w:space="0" w:color="000000"/>
              <w:right w:val="single" w:sz="4" w:space="0" w:color="auto"/>
            </w:tcBorders>
            <w:vAlign w:val="center"/>
          </w:tcPr>
          <w:p w14:paraId="7978F2E7" w14:textId="77777777" w:rsidR="009F58BE" w:rsidRPr="000A7FD1" w:rsidRDefault="009F58BE" w:rsidP="00B46317">
            <w:pPr>
              <w:spacing w:before="60" w:after="60"/>
              <w:jc w:val="center"/>
            </w:pPr>
            <w:r w:rsidRPr="000A7FD1">
              <w:t>X</w:t>
            </w:r>
          </w:p>
        </w:tc>
        <w:tc>
          <w:tcPr>
            <w:tcW w:w="1440" w:type="dxa"/>
            <w:tcBorders>
              <w:left w:val="single" w:sz="4" w:space="0" w:color="auto"/>
              <w:right w:val="single" w:sz="4" w:space="0" w:color="auto"/>
            </w:tcBorders>
            <w:vAlign w:val="center"/>
          </w:tcPr>
          <w:p w14:paraId="300B7038" w14:textId="77777777" w:rsidR="009F58BE" w:rsidRPr="000A7FD1" w:rsidRDefault="009F58BE" w:rsidP="00B46317">
            <w:pPr>
              <w:spacing w:before="60" w:after="60"/>
              <w:jc w:val="center"/>
            </w:pPr>
          </w:p>
        </w:tc>
        <w:tc>
          <w:tcPr>
            <w:tcW w:w="1350" w:type="dxa"/>
            <w:tcBorders>
              <w:left w:val="single" w:sz="4" w:space="0" w:color="auto"/>
              <w:right w:val="single" w:sz="4" w:space="0" w:color="auto"/>
            </w:tcBorders>
            <w:vAlign w:val="center"/>
          </w:tcPr>
          <w:p w14:paraId="41DCE830" w14:textId="77777777" w:rsidR="009F58BE" w:rsidRPr="000A7FD1" w:rsidRDefault="009F58BE" w:rsidP="00B46317">
            <w:pPr>
              <w:spacing w:before="60" w:after="60"/>
              <w:jc w:val="center"/>
            </w:pPr>
          </w:p>
        </w:tc>
        <w:tc>
          <w:tcPr>
            <w:tcW w:w="1170" w:type="dxa"/>
            <w:tcBorders>
              <w:left w:val="single" w:sz="4" w:space="0" w:color="auto"/>
              <w:right w:val="single" w:sz="4" w:space="0" w:color="auto"/>
            </w:tcBorders>
            <w:vAlign w:val="center"/>
          </w:tcPr>
          <w:p w14:paraId="52C45D17" w14:textId="77777777" w:rsidR="009F58BE" w:rsidRPr="000A7FD1" w:rsidRDefault="009F58BE" w:rsidP="00B46317">
            <w:pPr>
              <w:spacing w:before="60" w:after="60"/>
              <w:jc w:val="center"/>
            </w:pPr>
          </w:p>
        </w:tc>
        <w:tc>
          <w:tcPr>
            <w:tcW w:w="1260" w:type="dxa"/>
            <w:tcBorders>
              <w:left w:val="single" w:sz="4" w:space="0" w:color="auto"/>
              <w:right w:val="single" w:sz="4" w:space="0" w:color="auto"/>
            </w:tcBorders>
            <w:vAlign w:val="center"/>
          </w:tcPr>
          <w:p w14:paraId="52342B86" w14:textId="77777777" w:rsidR="009F58BE" w:rsidRPr="000A7FD1" w:rsidRDefault="009F58BE" w:rsidP="00B46317">
            <w:pPr>
              <w:spacing w:before="60" w:after="60"/>
              <w:jc w:val="center"/>
            </w:pPr>
          </w:p>
        </w:tc>
        <w:tc>
          <w:tcPr>
            <w:tcW w:w="1170" w:type="dxa"/>
            <w:tcBorders>
              <w:left w:val="single" w:sz="4" w:space="0" w:color="auto"/>
              <w:right w:val="single" w:sz="4" w:space="0" w:color="auto"/>
            </w:tcBorders>
            <w:vAlign w:val="center"/>
          </w:tcPr>
          <w:p w14:paraId="36768A4C" w14:textId="77777777" w:rsidR="009F58BE" w:rsidRPr="000A7FD1" w:rsidRDefault="009F58BE" w:rsidP="00B46317">
            <w:pPr>
              <w:spacing w:before="60" w:after="60"/>
              <w:jc w:val="center"/>
            </w:pPr>
          </w:p>
        </w:tc>
        <w:tc>
          <w:tcPr>
            <w:tcW w:w="1260" w:type="dxa"/>
            <w:tcBorders>
              <w:left w:val="single" w:sz="4" w:space="0" w:color="auto"/>
              <w:right w:val="single" w:sz="4" w:space="0" w:color="auto"/>
            </w:tcBorders>
            <w:vAlign w:val="center"/>
          </w:tcPr>
          <w:p w14:paraId="7CA45E8C" w14:textId="77777777" w:rsidR="009F58BE" w:rsidRPr="000A7FD1" w:rsidRDefault="009F58BE" w:rsidP="00B46317">
            <w:pPr>
              <w:spacing w:before="60" w:after="60"/>
              <w:jc w:val="center"/>
            </w:pPr>
          </w:p>
        </w:tc>
        <w:tc>
          <w:tcPr>
            <w:tcW w:w="1397" w:type="dxa"/>
            <w:tcBorders>
              <w:left w:val="single" w:sz="4" w:space="0" w:color="auto"/>
              <w:right w:val="double" w:sz="6" w:space="0" w:color="000000"/>
            </w:tcBorders>
            <w:vAlign w:val="center"/>
          </w:tcPr>
          <w:p w14:paraId="48CC1200" w14:textId="77777777" w:rsidR="009F58BE" w:rsidRPr="000A7FD1" w:rsidRDefault="009F58BE" w:rsidP="00B46317">
            <w:pPr>
              <w:spacing w:before="60" w:after="60"/>
              <w:jc w:val="center"/>
            </w:pPr>
          </w:p>
        </w:tc>
      </w:tr>
      <w:tr w:rsidR="009F58BE" w:rsidRPr="000A7FD1" w14:paraId="6BD70A12" w14:textId="77777777" w:rsidTr="00B46317">
        <w:tc>
          <w:tcPr>
            <w:tcW w:w="3330" w:type="dxa"/>
            <w:tcBorders>
              <w:left w:val="double" w:sz="6" w:space="0" w:color="000000"/>
              <w:right w:val="double" w:sz="6" w:space="0" w:color="000000"/>
            </w:tcBorders>
          </w:tcPr>
          <w:p w14:paraId="182FEE28" w14:textId="77777777" w:rsidR="009F58BE" w:rsidRPr="000A7FD1" w:rsidRDefault="009F58BE" w:rsidP="00B46317">
            <w:pPr>
              <w:spacing w:before="60" w:after="60"/>
            </w:pPr>
            <w:r w:rsidRPr="000A7FD1">
              <w:t xml:space="preserve">  Accounts Receivable Balance</w:t>
            </w:r>
          </w:p>
        </w:tc>
        <w:tc>
          <w:tcPr>
            <w:tcW w:w="1080" w:type="dxa"/>
            <w:tcBorders>
              <w:left w:val="double" w:sz="6" w:space="0" w:color="000000"/>
              <w:right w:val="single" w:sz="4" w:space="0" w:color="auto"/>
            </w:tcBorders>
            <w:vAlign w:val="center"/>
          </w:tcPr>
          <w:p w14:paraId="01D03BF1" w14:textId="77777777" w:rsidR="009F58BE" w:rsidRPr="000A7FD1" w:rsidRDefault="009F58BE" w:rsidP="00B46317">
            <w:pPr>
              <w:spacing w:before="60" w:after="60"/>
              <w:jc w:val="center"/>
            </w:pPr>
          </w:p>
        </w:tc>
        <w:tc>
          <w:tcPr>
            <w:tcW w:w="1440" w:type="dxa"/>
            <w:tcBorders>
              <w:left w:val="single" w:sz="4" w:space="0" w:color="auto"/>
              <w:right w:val="single" w:sz="4" w:space="0" w:color="auto"/>
            </w:tcBorders>
            <w:vAlign w:val="center"/>
          </w:tcPr>
          <w:p w14:paraId="2C984400" w14:textId="77777777" w:rsidR="009F58BE" w:rsidRPr="000A7FD1" w:rsidRDefault="009F58BE" w:rsidP="00B46317">
            <w:pPr>
              <w:spacing w:before="60" w:after="60"/>
              <w:jc w:val="center"/>
            </w:pPr>
            <w:r w:rsidRPr="000A7FD1">
              <w:t>X</w:t>
            </w:r>
          </w:p>
        </w:tc>
        <w:tc>
          <w:tcPr>
            <w:tcW w:w="1350" w:type="dxa"/>
            <w:tcBorders>
              <w:left w:val="single" w:sz="4" w:space="0" w:color="auto"/>
              <w:right w:val="single" w:sz="4" w:space="0" w:color="auto"/>
            </w:tcBorders>
            <w:vAlign w:val="center"/>
          </w:tcPr>
          <w:p w14:paraId="6875775C" w14:textId="77777777" w:rsidR="009F58BE" w:rsidRPr="000A7FD1" w:rsidRDefault="009F58BE" w:rsidP="00B46317">
            <w:pPr>
              <w:spacing w:before="60" w:after="60"/>
              <w:jc w:val="center"/>
            </w:pPr>
          </w:p>
        </w:tc>
        <w:tc>
          <w:tcPr>
            <w:tcW w:w="1170" w:type="dxa"/>
            <w:tcBorders>
              <w:left w:val="single" w:sz="4" w:space="0" w:color="auto"/>
              <w:right w:val="single" w:sz="4" w:space="0" w:color="auto"/>
            </w:tcBorders>
            <w:vAlign w:val="center"/>
          </w:tcPr>
          <w:p w14:paraId="7D710093" w14:textId="77777777" w:rsidR="009F58BE" w:rsidRPr="000A7FD1" w:rsidRDefault="009F58BE" w:rsidP="00B46317">
            <w:pPr>
              <w:spacing w:before="60" w:after="60"/>
              <w:jc w:val="center"/>
            </w:pPr>
          </w:p>
        </w:tc>
        <w:tc>
          <w:tcPr>
            <w:tcW w:w="1260" w:type="dxa"/>
            <w:tcBorders>
              <w:left w:val="single" w:sz="4" w:space="0" w:color="auto"/>
              <w:right w:val="single" w:sz="4" w:space="0" w:color="auto"/>
            </w:tcBorders>
            <w:vAlign w:val="center"/>
          </w:tcPr>
          <w:p w14:paraId="733006C7" w14:textId="77777777" w:rsidR="009F58BE" w:rsidRPr="000A7FD1" w:rsidRDefault="009F58BE" w:rsidP="00B46317">
            <w:pPr>
              <w:spacing w:before="60" w:after="60"/>
              <w:jc w:val="center"/>
            </w:pPr>
          </w:p>
        </w:tc>
        <w:tc>
          <w:tcPr>
            <w:tcW w:w="1170" w:type="dxa"/>
            <w:tcBorders>
              <w:left w:val="single" w:sz="4" w:space="0" w:color="auto"/>
              <w:right w:val="single" w:sz="4" w:space="0" w:color="auto"/>
            </w:tcBorders>
            <w:vAlign w:val="center"/>
          </w:tcPr>
          <w:p w14:paraId="1480F868" w14:textId="77777777" w:rsidR="009F58BE" w:rsidRPr="000A7FD1" w:rsidRDefault="009F58BE" w:rsidP="00B46317">
            <w:pPr>
              <w:spacing w:before="60" w:after="60"/>
              <w:jc w:val="center"/>
            </w:pPr>
          </w:p>
        </w:tc>
        <w:tc>
          <w:tcPr>
            <w:tcW w:w="1260" w:type="dxa"/>
            <w:tcBorders>
              <w:left w:val="single" w:sz="4" w:space="0" w:color="auto"/>
              <w:right w:val="single" w:sz="4" w:space="0" w:color="auto"/>
            </w:tcBorders>
            <w:vAlign w:val="center"/>
          </w:tcPr>
          <w:p w14:paraId="32C667DA" w14:textId="77777777" w:rsidR="009F58BE" w:rsidRPr="000A7FD1" w:rsidRDefault="009F58BE" w:rsidP="00B46317">
            <w:pPr>
              <w:spacing w:before="60" w:after="60"/>
              <w:jc w:val="center"/>
            </w:pPr>
          </w:p>
        </w:tc>
        <w:tc>
          <w:tcPr>
            <w:tcW w:w="1397" w:type="dxa"/>
            <w:tcBorders>
              <w:left w:val="single" w:sz="4" w:space="0" w:color="auto"/>
              <w:right w:val="double" w:sz="6" w:space="0" w:color="000000"/>
            </w:tcBorders>
            <w:vAlign w:val="center"/>
          </w:tcPr>
          <w:p w14:paraId="008AE746" w14:textId="77777777" w:rsidR="009F58BE" w:rsidRPr="000A7FD1" w:rsidRDefault="009F58BE" w:rsidP="00B46317">
            <w:pPr>
              <w:spacing w:before="60" w:after="60"/>
              <w:jc w:val="center"/>
            </w:pPr>
          </w:p>
        </w:tc>
      </w:tr>
      <w:tr w:rsidR="009F58BE" w:rsidRPr="000A7FD1" w14:paraId="67435257" w14:textId="77777777" w:rsidTr="00B46317">
        <w:tc>
          <w:tcPr>
            <w:tcW w:w="3330" w:type="dxa"/>
            <w:tcBorders>
              <w:left w:val="double" w:sz="6" w:space="0" w:color="000000"/>
              <w:bottom w:val="double" w:sz="4" w:space="0" w:color="auto"/>
              <w:right w:val="double" w:sz="6" w:space="0" w:color="000000"/>
            </w:tcBorders>
          </w:tcPr>
          <w:p w14:paraId="33AA43BC" w14:textId="77777777" w:rsidR="009F58BE" w:rsidRPr="000A7FD1" w:rsidRDefault="009F58BE" w:rsidP="00B46317">
            <w:pPr>
              <w:spacing w:before="60" w:after="60"/>
            </w:pPr>
            <w:r w:rsidRPr="000A7FD1">
              <w:t xml:space="preserve">  Property Balance</w:t>
            </w:r>
          </w:p>
        </w:tc>
        <w:tc>
          <w:tcPr>
            <w:tcW w:w="1080" w:type="dxa"/>
            <w:tcBorders>
              <w:left w:val="double" w:sz="6" w:space="0" w:color="000000"/>
              <w:bottom w:val="double" w:sz="4" w:space="0" w:color="auto"/>
              <w:right w:val="single" w:sz="4" w:space="0" w:color="auto"/>
            </w:tcBorders>
            <w:vAlign w:val="center"/>
          </w:tcPr>
          <w:p w14:paraId="25F55798" w14:textId="77777777" w:rsidR="009F58BE" w:rsidRPr="000A7FD1" w:rsidRDefault="009F58BE" w:rsidP="00B46317">
            <w:pPr>
              <w:spacing w:before="60" w:after="60"/>
              <w:jc w:val="center"/>
            </w:pPr>
          </w:p>
        </w:tc>
        <w:tc>
          <w:tcPr>
            <w:tcW w:w="1440" w:type="dxa"/>
            <w:tcBorders>
              <w:left w:val="single" w:sz="4" w:space="0" w:color="auto"/>
              <w:bottom w:val="double" w:sz="4" w:space="0" w:color="auto"/>
              <w:right w:val="single" w:sz="4" w:space="0" w:color="auto"/>
            </w:tcBorders>
            <w:vAlign w:val="center"/>
          </w:tcPr>
          <w:p w14:paraId="502E22F5" w14:textId="77777777" w:rsidR="009F58BE" w:rsidRPr="000A7FD1" w:rsidRDefault="009F58BE" w:rsidP="00B46317">
            <w:pPr>
              <w:spacing w:before="60" w:after="60"/>
              <w:jc w:val="center"/>
            </w:pPr>
          </w:p>
        </w:tc>
        <w:tc>
          <w:tcPr>
            <w:tcW w:w="1350" w:type="dxa"/>
            <w:tcBorders>
              <w:left w:val="single" w:sz="4" w:space="0" w:color="auto"/>
              <w:bottom w:val="double" w:sz="4" w:space="0" w:color="auto"/>
              <w:right w:val="single" w:sz="4" w:space="0" w:color="auto"/>
            </w:tcBorders>
            <w:vAlign w:val="center"/>
          </w:tcPr>
          <w:p w14:paraId="14FFE873" w14:textId="77777777" w:rsidR="009F58BE" w:rsidRPr="000A7FD1" w:rsidRDefault="009F58BE" w:rsidP="00B46317">
            <w:pPr>
              <w:spacing w:before="60" w:after="60"/>
              <w:jc w:val="center"/>
            </w:pPr>
          </w:p>
        </w:tc>
        <w:tc>
          <w:tcPr>
            <w:tcW w:w="1170" w:type="dxa"/>
            <w:tcBorders>
              <w:left w:val="single" w:sz="4" w:space="0" w:color="auto"/>
              <w:bottom w:val="double" w:sz="4" w:space="0" w:color="auto"/>
              <w:right w:val="single" w:sz="4" w:space="0" w:color="auto"/>
            </w:tcBorders>
            <w:vAlign w:val="center"/>
          </w:tcPr>
          <w:p w14:paraId="38853648" w14:textId="77777777" w:rsidR="009F58BE" w:rsidRPr="000A7FD1" w:rsidRDefault="009F58BE" w:rsidP="00B46317">
            <w:pPr>
              <w:spacing w:before="60" w:after="60"/>
              <w:jc w:val="center"/>
            </w:pPr>
            <w:r w:rsidRPr="000A7FD1">
              <w:t>X</w:t>
            </w:r>
          </w:p>
        </w:tc>
        <w:tc>
          <w:tcPr>
            <w:tcW w:w="1260" w:type="dxa"/>
            <w:tcBorders>
              <w:left w:val="single" w:sz="4" w:space="0" w:color="auto"/>
              <w:bottom w:val="double" w:sz="4" w:space="0" w:color="auto"/>
              <w:right w:val="single" w:sz="4" w:space="0" w:color="auto"/>
            </w:tcBorders>
            <w:vAlign w:val="center"/>
          </w:tcPr>
          <w:p w14:paraId="69802BF7" w14:textId="77777777" w:rsidR="009F58BE" w:rsidRPr="000A7FD1" w:rsidRDefault="009F58BE" w:rsidP="00B46317">
            <w:pPr>
              <w:spacing w:before="60" w:after="60"/>
              <w:jc w:val="center"/>
            </w:pPr>
          </w:p>
        </w:tc>
        <w:tc>
          <w:tcPr>
            <w:tcW w:w="1170" w:type="dxa"/>
            <w:tcBorders>
              <w:left w:val="single" w:sz="4" w:space="0" w:color="auto"/>
              <w:bottom w:val="double" w:sz="4" w:space="0" w:color="auto"/>
              <w:right w:val="single" w:sz="4" w:space="0" w:color="auto"/>
            </w:tcBorders>
            <w:vAlign w:val="center"/>
          </w:tcPr>
          <w:p w14:paraId="75238B54" w14:textId="77777777" w:rsidR="009F58BE" w:rsidRPr="000A7FD1" w:rsidRDefault="009F58BE" w:rsidP="00B46317">
            <w:pPr>
              <w:spacing w:before="60" w:after="60"/>
              <w:jc w:val="center"/>
            </w:pPr>
          </w:p>
        </w:tc>
        <w:tc>
          <w:tcPr>
            <w:tcW w:w="1260" w:type="dxa"/>
            <w:tcBorders>
              <w:left w:val="single" w:sz="4" w:space="0" w:color="auto"/>
              <w:bottom w:val="double" w:sz="4" w:space="0" w:color="auto"/>
              <w:right w:val="single" w:sz="4" w:space="0" w:color="auto"/>
            </w:tcBorders>
            <w:vAlign w:val="center"/>
          </w:tcPr>
          <w:p w14:paraId="6FA5053B" w14:textId="77777777" w:rsidR="009F58BE" w:rsidRPr="000A7FD1" w:rsidRDefault="009F58BE" w:rsidP="00B46317">
            <w:pPr>
              <w:spacing w:before="60" w:after="60"/>
              <w:jc w:val="center"/>
            </w:pPr>
          </w:p>
        </w:tc>
        <w:tc>
          <w:tcPr>
            <w:tcW w:w="1397" w:type="dxa"/>
            <w:tcBorders>
              <w:left w:val="single" w:sz="4" w:space="0" w:color="auto"/>
              <w:bottom w:val="double" w:sz="4" w:space="0" w:color="auto"/>
              <w:right w:val="double" w:sz="6" w:space="0" w:color="000000"/>
            </w:tcBorders>
            <w:vAlign w:val="center"/>
          </w:tcPr>
          <w:p w14:paraId="28C6A20B" w14:textId="77777777" w:rsidR="009F58BE" w:rsidRPr="000A7FD1" w:rsidRDefault="009F58BE" w:rsidP="00B46317">
            <w:pPr>
              <w:spacing w:before="60" w:after="60"/>
              <w:jc w:val="center"/>
            </w:pPr>
          </w:p>
        </w:tc>
      </w:tr>
    </w:tbl>
    <w:p w14:paraId="20B9E392" w14:textId="248EED60" w:rsidR="009F58BE" w:rsidRPr="000A7FD1" w:rsidRDefault="009F58BE" w:rsidP="0053611F">
      <w:pPr>
        <w:sectPr w:rsidR="009F58BE" w:rsidRPr="000A7FD1" w:rsidSect="00666BFE">
          <w:headerReference w:type="default" r:id="rId45"/>
          <w:footerReference w:type="default" r:id="rId46"/>
          <w:endnotePr>
            <w:numFmt w:val="decimal"/>
          </w:endnotePr>
          <w:pgSz w:w="15840" w:h="12240" w:orient="landscape" w:code="1"/>
          <w:pgMar w:top="1080" w:right="1440" w:bottom="1080" w:left="1080" w:header="720" w:footer="720" w:gutter="360"/>
          <w:pgNumType w:start="1"/>
          <w:cols w:space="720"/>
          <w:noEndnote/>
          <w:docGrid w:linePitch="326"/>
        </w:sectPr>
      </w:pPr>
    </w:p>
    <w:p w14:paraId="165C297D" w14:textId="3436913E" w:rsidR="00792A77" w:rsidRPr="000A7FD1" w:rsidRDefault="00792A77" w:rsidP="00713125">
      <w:pPr>
        <w:pStyle w:val="Heading2FAM"/>
      </w:pPr>
      <w:r w:rsidRPr="000A7FD1">
        <w:lastRenderedPageBreak/>
        <w:t xml:space="preserve">395 B </w:t>
      </w:r>
      <w:r w:rsidR="004C25AA" w:rsidRPr="000A7FD1">
        <w:t>–</w:t>
      </w:r>
      <w:r w:rsidRPr="000A7FD1">
        <w:t xml:space="preserve"> Assertions, Potential Misstatements, and Control Objectives</w:t>
      </w:r>
    </w:p>
    <w:p w14:paraId="24E16CDC" w14:textId="1A99DF74" w:rsidR="00AA0C1D" w:rsidRPr="000A7FD1" w:rsidRDefault="00792A77" w:rsidP="008B6636">
      <w:r w:rsidRPr="000A7FD1">
        <w:t xml:space="preserve">This section lists potential misstatements that could occur in each assertion, together with related control objectives. </w:t>
      </w:r>
      <w:r w:rsidR="00B84766" w:rsidRPr="000A7FD1">
        <w:t>As discussed in FAM 265, t</w:t>
      </w:r>
      <w:r w:rsidRPr="000A7FD1">
        <w:t>he auditor tailor</w:t>
      </w:r>
      <w:r w:rsidR="00B84766" w:rsidRPr="000A7FD1">
        <w:t>s</w:t>
      </w:r>
      <w:r w:rsidRPr="000A7FD1">
        <w:t xml:space="preserve"> the </w:t>
      </w:r>
      <w:r w:rsidR="006C3442" w:rsidRPr="000A7FD1">
        <w:t>potential misstatements</w:t>
      </w:r>
      <w:r w:rsidR="008D70ED" w:rsidRPr="000A7FD1">
        <w:t xml:space="preserve"> illustrated in this section</w:t>
      </w:r>
      <w:r w:rsidR="006C3442" w:rsidRPr="000A7FD1">
        <w:t xml:space="preserve"> to the specific circumstances of </w:t>
      </w:r>
      <w:r w:rsidRPr="000A7FD1">
        <w:t>the entity</w:t>
      </w:r>
      <w:r w:rsidR="00A928B4" w:rsidRPr="000A7FD1">
        <w:t>. These potential misstatements represent identified</w:t>
      </w:r>
      <w:r w:rsidR="00D956E2" w:rsidRPr="000A7FD1">
        <w:t xml:space="preserve"> </w:t>
      </w:r>
      <w:r w:rsidR="00B84766" w:rsidRPr="000A7FD1">
        <w:t xml:space="preserve">risks of material misstatement at the assertion level. The </w:t>
      </w:r>
      <w:r w:rsidR="00D956E2" w:rsidRPr="000A7FD1">
        <w:t xml:space="preserve">assertions and </w:t>
      </w:r>
      <w:r w:rsidR="00B84766" w:rsidRPr="000A7FD1">
        <w:t xml:space="preserve">identified risks of material misstatement </w:t>
      </w:r>
      <w:r w:rsidR="008D70ED" w:rsidRPr="000A7FD1">
        <w:t xml:space="preserve">are used to prepare </w:t>
      </w:r>
      <w:r w:rsidR="006C6A71" w:rsidRPr="000A7FD1">
        <w:t xml:space="preserve">the </w:t>
      </w:r>
      <w:r w:rsidR="008D70ED" w:rsidRPr="000A7FD1">
        <w:t>first and second columns of the</w:t>
      </w:r>
      <w:r w:rsidR="00B84766" w:rsidRPr="000A7FD1">
        <w:t xml:space="preserve"> LIRA form at FAM 395 H</w:t>
      </w:r>
      <w:r w:rsidR="006C6A71" w:rsidRPr="000A7FD1">
        <w:t xml:space="preserve"> and </w:t>
      </w:r>
      <w:r w:rsidR="008D70ED" w:rsidRPr="000A7FD1">
        <w:t>the SCE worksheet at FAM 395 G</w:t>
      </w:r>
      <w:r w:rsidR="00B84766" w:rsidRPr="000A7FD1">
        <w:t>.</w:t>
      </w:r>
      <w:r w:rsidRPr="000A7FD1">
        <w:t xml:space="preserve"> The </w:t>
      </w:r>
      <w:r w:rsidR="006C6A71" w:rsidRPr="000A7FD1">
        <w:t xml:space="preserve">auditor also tailors the </w:t>
      </w:r>
      <w:r w:rsidRPr="000A7FD1">
        <w:t>control objective</w:t>
      </w:r>
      <w:r w:rsidR="008D70ED" w:rsidRPr="000A7FD1">
        <w:t>s</w:t>
      </w:r>
      <w:r w:rsidRPr="000A7FD1">
        <w:t xml:space="preserve"> illustrated in this section</w:t>
      </w:r>
      <w:r w:rsidR="006C6A71" w:rsidRPr="000A7FD1">
        <w:t>, as appropriate, which may include supplementing them with additional objectives or subobjectives. These control objectives</w:t>
      </w:r>
      <w:r w:rsidR="00FD58EC" w:rsidRPr="000A7FD1">
        <w:t xml:space="preserve"> are used to prepare the</w:t>
      </w:r>
      <w:r w:rsidRPr="000A7FD1">
        <w:t xml:space="preserve"> </w:t>
      </w:r>
      <w:r w:rsidR="006C6A71" w:rsidRPr="000A7FD1">
        <w:t xml:space="preserve">sixth </w:t>
      </w:r>
      <w:r w:rsidRPr="000A7FD1">
        <w:t>column of the SCE worksheet</w:t>
      </w:r>
      <w:r w:rsidR="0087564D" w:rsidRPr="000A7FD1">
        <w:t>.</w:t>
      </w:r>
      <w:r w:rsidR="008D70ED" w:rsidRPr="000A7FD1">
        <w:t xml:space="preserve"> </w:t>
      </w:r>
      <w:r w:rsidRPr="000A7FD1">
        <w:t xml:space="preserve">However, this section is provided as a reference and does </w:t>
      </w:r>
      <w:r w:rsidRPr="000A7FD1">
        <w:rPr>
          <w:b/>
        </w:rPr>
        <w:t>not</w:t>
      </w:r>
      <w:r w:rsidRPr="000A7FD1">
        <w:t xml:space="preserve"> require completion as a form.</w:t>
      </w:r>
    </w:p>
    <w:tbl>
      <w:tblPr>
        <w:tblStyle w:val="TableGrid"/>
        <w:tblW w:w="0" w:type="auto"/>
        <w:tblInd w:w="-1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800"/>
        <w:gridCol w:w="3240"/>
        <w:gridCol w:w="4305"/>
      </w:tblGrid>
      <w:tr w:rsidR="00460EBB" w:rsidRPr="000A7FD1" w14:paraId="208818C9" w14:textId="77777777" w:rsidTr="0021164B">
        <w:trPr>
          <w:trHeight w:val="144"/>
          <w:tblHeader/>
        </w:trPr>
        <w:tc>
          <w:tcPr>
            <w:tcW w:w="1800" w:type="dxa"/>
            <w:tcBorders>
              <w:top w:val="single" w:sz="4" w:space="0" w:color="auto"/>
              <w:bottom w:val="double" w:sz="4" w:space="0" w:color="auto"/>
            </w:tcBorders>
            <w:shd w:val="clear" w:color="auto" w:fill="BFBFBF" w:themeFill="background1" w:themeFillShade="BF"/>
          </w:tcPr>
          <w:p w14:paraId="521B7FC7" w14:textId="04D1E675" w:rsidR="005175F8" w:rsidRPr="000A7FD1" w:rsidRDefault="005175F8" w:rsidP="00FC65F2">
            <w:pPr>
              <w:pStyle w:val="Table-Head-Left"/>
              <w:jc w:val="center"/>
            </w:pPr>
            <w:r w:rsidRPr="000A7FD1">
              <w:t>Assertion</w:t>
            </w:r>
          </w:p>
        </w:tc>
        <w:tc>
          <w:tcPr>
            <w:tcW w:w="3240" w:type="dxa"/>
            <w:tcBorders>
              <w:top w:val="single" w:sz="4" w:space="0" w:color="auto"/>
              <w:bottom w:val="double" w:sz="4" w:space="0" w:color="auto"/>
            </w:tcBorders>
            <w:shd w:val="clear" w:color="auto" w:fill="BFBFBF" w:themeFill="background1" w:themeFillShade="BF"/>
          </w:tcPr>
          <w:p w14:paraId="0401E64A" w14:textId="77777777" w:rsidR="005175F8" w:rsidRPr="000A7FD1" w:rsidRDefault="005175F8" w:rsidP="00FC65F2">
            <w:pPr>
              <w:pStyle w:val="Table-Head-Left"/>
              <w:jc w:val="center"/>
            </w:pPr>
            <w:r w:rsidRPr="000A7FD1">
              <w:t>Potential misstatement</w:t>
            </w:r>
          </w:p>
        </w:tc>
        <w:tc>
          <w:tcPr>
            <w:tcW w:w="4305" w:type="dxa"/>
            <w:tcBorders>
              <w:top w:val="single" w:sz="4" w:space="0" w:color="auto"/>
              <w:bottom w:val="double" w:sz="4" w:space="0" w:color="auto"/>
            </w:tcBorders>
            <w:shd w:val="clear" w:color="auto" w:fill="BFBFBF" w:themeFill="background1" w:themeFillShade="BF"/>
          </w:tcPr>
          <w:p w14:paraId="57EC5510" w14:textId="77777777" w:rsidR="005175F8" w:rsidRPr="000A7FD1" w:rsidRDefault="005175F8" w:rsidP="00FC65F2">
            <w:pPr>
              <w:pStyle w:val="Table-Head-Left"/>
              <w:jc w:val="center"/>
            </w:pPr>
            <w:r w:rsidRPr="000A7FD1">
              <w:t>Control objective</w:t>
            </w:r>
          </w:p>
        </w:tc>
      </w:tr>
      <w:tr w:rsidR="00794959" w:rsidRPr="000A7FD1" w14:paraId="35B07193" w14:textId="77777777" w:rsidTr="00FC65F2">
        <w:trPr>
          <w:trHeight w:val="348"/>
        </w:trPr>
        <w:tc>
          <w:tcPr>
            <w:tcW w:w="1800" w:type="dxa"/>
            <w:vMerge w:val="restart"/>
            <w:tcBorders>
              <w:top w:val="double" w:sz="4" w:space="0" w:color="auto"/>
              <w:bottom w:val="nil"/>
            </w:tcBorders>
          </w:tcPr>
          <w:p w14:paraId="202BA5EC" w14:textId="77777777" w:rsidR="00794959" w:rsidRPr="000A7FD1" w:rsidRDefault="00794959" w:rsidP="005175F8">
            <w:pPr>
              <w:pStyle w:val="Table-Head-Left"/>
            </w:pPr>
            <w:r w:rsidRPr="000A7FD1">
              <w:t>Existence or occurrence</w:t>
            </w:r>
          </w:p>
        </w:tc>
        <w:tc>
          <w:tcPr>
            <w:tcW w:w="7545" w:type="dxa"/>
            <w:gridSpan w:val="2"/>
            <w:tcBorders>
              <w:top w:val="double" w:sz="4" w:space="0" w:color="auto"/>
              <w:bottom w:val="single" w:sz="6" w:space="0" w:color="auto"/>
            </w:tcBorders>
            <w:shd w:val="clear" w:color="auto" w:fill="D9D9D9" w:themeFill="background1" w:themeFillShade="D9"/>
          </w:tcPr>
          <w:p w14:paraId="45890C7A" w14:textId="49DF945B" w:rsidR="00794959" w:rsidRPr="000A7FD1" w:rsidRDefault="00794959" w:rsidP="00FC65F2">
            <w:pPr>
              <w:pStyle w:val="Table-Head-Center"/>
              <w:tabs>
                <w:tab w:val="center" w:pos="3088"/>
              </w:tabs>
            </w:pPr>
            <w:r w:rsidRPr="000A7FD1">
              <w:t>Transaction</w:t>
            </w:r>
            <w:r w:rsidR="00247EA9" w:rsidRPr="000A7FD1">
              <w:t xml:space="preserve"> r</w:t>
            </w:r>
            <w:r w:rsidRPr="000A7FD1">
              <w:t>elated</w:t>
            </w:r>
          </w:p>
        </w:tc>
      </w:tr>
      <w:tr w:rsidR="00794959" w:rsidRPr="000A7FD1" w14:paraId="5040772E" w14:textId="77777777" w:rsidTr="00E82333">
        <w:trPr>
          <w:trHeight w:val="144"/>
        </w:trPr>
        <w:tc>
          <w:tcPr>
            <w:tcW w:w="1800" w:type="dxa"/>
            <w:vMerge/>
            <w:tcBorders>
              <w:top w:val="nil"/>
              <w:bottom w:val="nil"/>
            </w:tcBorders>
          </w:tcPr>
          <w:p w14:paraId="4D01D24B" w14:textId="77777777" w:rsidR="00794959" w:rsidRPr="000A7FD1" w:rsidRDefault="00794959" w:rsidP="00462767"/>
        </w:tc>
        <w:tc>
          <w:tcPr>
            <w:tcW w:w="3240" w:type="dxa"/>
            <w:tcBorders>
              <w:top w:val="single" w:sz="6" w:space="0" w:color="auto"/>
              <w:bottom w:val="nil"/>
            </w:tcBorders>
          </w:tcPr>
          <w:p w14:paraId="59ED626F" w14:textId="6798235E" w:rsidR="00794959" w:rsidRPr="000A7FD1" w:rsidRDefault="00794959" w:rsidP="005175F8">
            <w:pPr>
              <w:pStyle w:val="Table-Head-Left"/>
            </w:pPr>
            <w:r w:rsidRPr="000A7FD1">
              <w:t>Occurrence/validity:</w:t>
            </w:r>
          </w:p>
        </w:tc>
        <w:tc>
          <w:tcPr>
            <w:tcW w:w="4305" w:type="dxa"/>
            <w:tcBorders>
              <w:top w:val="single" w:sz="6" w:space="0" w:color="auto"/>
              <w:bottom w:val="nil"/>
            </w:tcBorders>
          </w:tcPr>
          <w:p w14:paraId="02E61857" w14:textId="77777777" w:rsidR="00794959" w:rsidRPr="000A7FD1" w:rsidRDefault="00794959" w:rsidP="00462767"/>
        </w:tc>
      </w:tr>
      <w:tr w:rsidR="00B545A3" w:rsidRPr="000A7FD1" w14:paraId="3137E29C" w14:textId="77777777" w:rsidTr="00E82333">
        <w:trPr>
          <w:trHeight w:val="144"/>
        </w:trPr>
        <w:tc>
          <w:tcPr>
            <w:tcW w:w="1800" w:type="dxa"/>
            <w:tcBorders>
              <w:top w:val="nil"/>
              <w:bottom w:val="nil"/>
            </w:tcBorders>
          </w:tcPr>
          <w:p w14:paraId="5428F4AE" w14:textId="77777777" w:rsidR="00B545A3" w:rsidRPr="000A7FD1" w:rsidRDefault="00B545A3" w:rsidP="00462767"/>
        </w:tc>
        <w:tc>
          <w:tcPr>
            <w:tcW w:w="3240" w:type="dxa"/>
            <w:vMerge w:val="restart"/>
            <w:tcBorders>
              <w:top w:val="nil"/>
            </w:tcBorders>
          </w:tcPr>
          <w:p w14:paraId="423FA74E" w14:textId="386AE912" w:rsidR="00B545A3" w:rsidRPr="000A7FD1" w:rsidRDefault="00B545A3" w:rsidP="00E82333">
            <w:pPr>
              <w:pStyle w:val="TableHanging"/>
              <w:spacing w:before="100" w:beforeAutospacing="1" w:after="100" w:afterAutospacing="1"/>
              <w:rPr>
                <w:sz w:val="20"/>
                <w:szCs w:val="20"/>
              </w:rPr>
            </w:pPr>
            <w:r w:rsidRPr="000A7FD1">
              <w:rPr>
                <w:sz w:val="20"/>
                <w:szCs w:val="20"/>
              </w:rPr>
              <w:t>1.</w:t>
            </w:r>
            <w:r w:rsidRPr="000A7FD1">
              <w:rPr>
                <w:sz w:val="20"/>
                <w:szCs w:val="20"/>
              </w:rPr>
              <w:tab/>
              <w:t xml:space="preserve">Recorded transactions and events </w:t>
            </w:r>
            <w:r w:rsidR="002017A7" w:rsidRPr="000A7FD1">
              <w:rPr>
                <w:sz w:val="20"/>
                <w:szCs w:val="20"/>
              </w:rPr>
              <w:t>did not</w:t>
            </w:r>
            <w:r w:rsidRPr="000A7FD1">
              <w:rPr>
                <w:sz w:val="20"/>
                <w:szCs w:val="20"/>
              </w:rPr>
              <w:t xml:space="preserve"> actually occur or do not pertain to the entity.</w:t>
            </w:r>
          </w:p>
        </w:tc>
        <w:tc>
          <w:tcPr>
            <w:tcW w:w="4305" w:type="dxa"/>
            <w:tcBorders>
              <w:top w:val="nil"/>
              <w:bottom w:val="nil"/>
            </w:tcBorders>
          </w:tcPr>
          <w:p w14:paraId="1F022AFD" w14:textId="4E8AD2E7" w:rsidR="00B545A3" w:rsidRPr="000A7FD1" w:rsidRDefault="00B545A3" w:rsidP="00E82333">
            <w:pPr>
              <w:pStyle w:val="TableHanging"/>
              <w:spacing w:before="100" w:beforeAutospacing="1" w:after="100" w:afterAutospacing="1"/>
              <w:ind w:left="490" w:hanging="490"/>
              <w:rPr>
                <w:sz w:val="20"/>
                <w:szCs w:val="20"/>
              </w:rPr>
            </w:pPr>
            <w:r w:rsidRPr="000A7FD1">
              <w:rPr>
                <w:sz w:val="20"/>
                <w:szCs w:val="20"/>
              </w:rPr>
              <w:t>1a.</w:t>
            </w:r>
            <w:r w:rsidRPr="000A7FD1">
              <w:rPr>
                <w:sz w:val="20"/>
                <w:szCs w:val="20"/>
              </w:rPr>
              <w:tab/>
              <w:t>Recorded transactions, events, and related processing procedures are authorized by federal laws, regulations, contracts, grant agreements</w:t>
            </w:r>
            <w:r w:rsidR="00D0688E" w:rsidRPr="000A7FD1">
              <w:rPr>
                <w:sz w:val="20"/>
                <w:szCs w:val="20"/>
              </w:rPr>
              <w:t>,</w:t>
            </w:r>
            <w:r w:rsidRPr="000A7FD1">
              <w:rPr>
                <w:sz w:val="20"/>
                <w:szCs w:val="20"/>
              </w:rPr>
              <w:t xml:space="preserve"> and management policy.</w:t>
            </w:r>
          </w:p>
        </w:tc>
      </w:tr>
      <w:tr w:rsidR="00B545A3" w:rsidRPr="000A7FD1" w14:paraId="4CB6B063" w14:textId="77777777" w:rsidTr="00E82333">
        <w:trPr>
          <w:trHeight w:val="144"/>
        </w:trPr>
        <w:tc>
          <w:tcPr>
            <w:tcW w:w="1800" w:type="dxa"/>
            <w:tcBorders>
              <w:top w:val="nil"/>
              <w:bottom w:val="nil"/>
            </w:tcBorders>
          </w:tcPr>
          <w:p w14:paraId="47FD4513" w14:textId="77777777" w:rsidR="00B545A3" w:rsidRPr="000A7FD1" w:rsidRDefault="00B545A3" w:rsidP="00462767"/>
        </w:tc>
        <w:tc>
          <w:tcPr>
            <w:tcW w:w="3240" w:type="dxa"/>
            <w:vMerge/>
            <w:tcBorders>
              <w:bottom w:val="nil"/>
            </w:tcBorders>
          </w:tcPr>
          <w:p w14:paraId="5A4FD1E7" w14:textId="77777777" w:rsidR="00B545A3" w:rsidRPr="000A7FD1" w:rsidRDefault="00B545A3" w:rsidP="00E82333">
            <w:pPr>
              <w:spacing w:before="100" w:beforeAutospacing="1" w:after="100" w:afterAutospacing="1"/>
              <w:rPr>
                <w:sz w:val="20"/>
                <w:szCs w:val="20"/>
              </w:rPr>
            </w:pPr>
          </w:p>
        </w:tc>
        <w:tc>
          <w:tcPr>
            <w:tcW w:w="4305" w:type="dxa"/>
            <w:tcBorders>
              <w:top w:val="nil"/>
              <w:bottom w:val="nil"/>
            </w:tcBorders>
          </w:tcPr>
          <w:p w14:paraId="43346941" w14:textId="5F1DF7A0" w:rsidR="00B545A3" w:rsidRPr="000A7FD1" w:rsidRDefault="00B545A3" w:rsidP="00E82333">
            <w:pPr>
              <w:pStyle w:val="TableHanging"/>
              <w:spacing w:before="100" w:beforeAutospacing="1" w:after="100" w:afterAutospacing="1"/>
              <w:ind w:left="490" w:hanging="490"/>
              <w:rPr>
                <w:sz w:val="20"/>
                <w:szCs w:val="20"/>
              </w:rPr>
            </w:pPr>
            <w:r w:rsidRPr="000A7FD1">
              <w:rPr>
                <w:sz w:val="20"/>
                <w:szCs w:val="20"/>
              </w:rPr>
              <w:t>1b.</w:t>
            </w:r>
            <w:r w:rsidRPr="000A7FD1">
              <w:rPr>
                <w:sz w:val="20"/>
                <w:szCs w:val="20"/>
              </w:rPr>
              <w:tab/>
              <w:t xml:space="preserve">Appropriate individuals approve recorded transactions </w:t>
            </w:r>
            <w:r w:rsidR="00D6284E" w:rsidRPr="000A7FD1">
              <w:rPr>
                <w:sz w:val="20"/>
                <w:szCs w:val="20"/>
              </w:rPr>
              <w:t xml:space="preserve">and events </w:t>
            </w:r>
            <w:r w:rsidRPr="000A7FD1">
              <w:rPr>
                <w:sz w:val="20"/>
                <w:szCs w:val="20"/>
              </w:rPr>
              <w:t>in accordance with management’s general or specific criteria.</w:t>
            </w:r>
          </w:p>
        </w:tc>
      </w:tr>
      <w:tr w:rsidR="005175F8" w:rsidRPr="000A7FD1" w14:paraId="44AF6311" w14:textId="77777777" w:rsidTr="00E82333">
        <w:trPr>
          <w:trHeight w:val="144"/>
        </w:trPr>
        <w:tc>
          <w:tcPr>
            <w:tcW w:w="1800" w:type="dxa"/>
            <w:tcBorders>
              <w:top w:val="nil"/>
              <w:bottom w:val="nil"/>
            </w:tcBorders>
          </w:tcPr>
          <w:p w14:paraId="1799B4A3" w14:textId="77777777" w:rsidR="005175F8" w:rsidRPr="000A7FD1" w:rsidRDefault="005175F8" w:rsidP="00462767"/>
        </w:tc>
        <w:tc>
          <w:tcPr>
            <w:tcW w:w="3240" w:type="dxa"/>
            <w:tcBorders>
              <w:top w:val="nil"/>
              <w:bottom w:val="nil"/>
            </w:tcBorders>
          </w:tcPr>
          <w:p w14:paraId="7EB38F8D" w14:textId="77777777" w:rsidR="005175F8" w:rsidRPr="000A7FD1" w:rsidRDefault="005175F8" w:rsidP="00E82333">
            <w:pPr>
              <w:spacing w:before="100" w:beforeAutospacing="1" w:after="100" w:afterAutospacing="1"/>
              <w:rPr>
                <w:sz w:val="20"/>
                <w:szCs w:val="20"/>
              </w:rPr>
            </w:pPr>
          </w:p>
        </w:tc>
        <w:tc>
          <w:tcPr>
            <w:tcW w:w="4305" w:type="dxa"/>
            <w:tcBorders>
              <w:top w:val="nil"/>
              <w:bottom w:val="nil"/>
            </w:tcBorders>
          </w:tcPr>
          <w:p w14:paraId="0B0B786B" w14:textId="46DF00F6" w:rsidR="005175F8" w:rsidRPr="000A7FD1" w:rsidRDefault="00794959" w:rsidP="00E82333">
            <w:pPr>
              <w:pStyle w:val="TableHanging"/>
              <w:spacing w:before="100" w:beforeAutospacing="1" w:after="100" w:afterAutospacing="1"/>
              <w:ind w:left="490" w:hanging="490"/>
              <w:contextualSpacing/>
              <w:rPr>
                <w:sz w:val="20"/>
                <w:szCs w:val="20"/>
              </w:rPr>
            </w:pPr>
            <w:r w:rsidRPr="000A7FD1">
              <w:rPr>
                <w:sz w:val="20"/>
                <w:szCs w:val="20"/>
              </w:rPr>
              <w:t>1c.</w:t>
            </w:r>
            <w:r w:rsidRPr="000A7FD1">
              <w:rPr>
                <w:sz w:val="20"/>
                <w:szCs w:val="20"/>
              </w:rPr>
              <w:tab/>
            </w:r>
            <w:r w:rsidR="005175F8" w:rsidRPr="000A7FD1">
              <w:rPr>
                <w:sz w:val="20"/>
                <w:szCs w:val="20"/>
              </w:rPr>
              <w:t xml:space="preserve">Recorded transactions </w:t>
            </w:r>
            <w:r w:rsidR="002017A7" w:rsidRPr="000A7FD1">
              <w:rPr>
                <w:sz w:val="20"/>
                <w:szCs w:val="20"/>
              </w:rPr>
              <w:t xml:space="preserve">and events </w:t>
            </w:r>
            <w:r w:rsidR="005175F8" w:rsidRPr="000A7FD1">
              <w:rPr>
                <w:sz w:val="20"/>
                <w:szCs w:val="20"/>
              </w:rPr>
              <w:t>actually occurred</w:t>
            </w:r>
            <w:r w:rsidR="0083775F" w:rsidRPr="000A7FD1">
              <w:rPr>
                <w:sz w:val="20"/>
                <w:szCs w:val="20"/>
              </w:rPr>
              <w:t xml:space="preserve"> </w:t>
            </w:r>
            <w:r w:rsidR="005175F8" w:rsidRPr="000A7FD1">
              <w:rPr>
                <w:sz w:val="20"/>
                <w:szCs w:val="20"/>
              </w:rPr>
              <w:t>and pertain to the entity.</w:t>
            </w:r>
          </w:p>
          <w:p w14:paraId="49971938" w14:textId="470A799D" w:rsidR="00254699" w:rsidRPr="000A7FD1" w:rsidRDefault="0083775F" w:rsidP="00E82333">
            <w:pPr>
              <w:pStyle w:val="TableHanging"/>
              <w:spacing w:before="100" w:beforeAutospacing="1" w:after="100" w:afterAutospacing="1"/>
              <w:ind w:left="490" w:hanging="490"/>
              <w:contextualSpacing/>
              <w:rPr>
                <w:sz w:val="20"/>
                <w:szCs w:val="20"/>
              </w:rPr>
            </w:pPr>
            <w:r w:rsidRPr="000A7FD1">
              <w:rPr>
                <w:sz w:val="20"/>
                <w:szCs w:val="20"/>
              </w:rPr>
              <w:t xml:space="preserve">1d. </w:t>
            </w:r>
            <w:r w:rsidR="00D6284E" w:rsidRPr="000A7FD1">
              <w:rPr>
                <w:sz w:val="20"/>
                <w:szCs w:val="20"/>
              </w:rPr>
              <w:t xml:space="preserve">  T</w:t>
            </w:r>
            <w:r w:rsidR="0001462C" w:rsidRPr="000A7FD1">
              <w:rPr>
                <w:sz w:val="20"/>
                <w:szCs w:val="20"/>
              </w:rPr>
              <w:t xml:space="preserve">ransactions </w:t>
            </w:r>
            <w:r w:rsidR="00D6284E" w:rsidRPr="000A7FD1">
              <w:rPr>
                <w:sz w:val="20"/>
                <w:szCs w:val="20"/>
              </w:rPr>
              <w:t xml:space="preserve">and events </w:t>
            </w:r>
            <w:r w:rsidR="0001462C" w:rsidRPr="000A7FD1">
              <w:rPr>
                <w:sz w:val="20"/>
                <w:szCs w:val="20"/>
              </w:rPr>
              <w:t>are recorded in the proper accounts.</w:t>
            </w:r>
          </w:p>
        </w:tc>
      </w:tr>
      <w:tr w:rsidR="005175F8" w:rsidRPr="000A7FD1" w14:paraId="20817B4D" w14:textId="77777777" w:rsidTr="00E82333">
        <w:trPr>
          <w:trHeight w:val="144"/>
        </w:trPr>
        <w:tc>
          <w:tcPr>
            <w:tcW w:w="1800" w:type="dxa"/>
            <w:tcBorders>
              <w:top w:val="nil"/>
              <w:bottom w:val="nil"/>
            </w:tcBorders>
          </w:tcPr>
          <w:p w14:paraId="17786855" w14:textId="77777777" w:rsidR="005175F8" w:rsidRPr="000A7FD1" w:rsidRDefault="005175F8" w:rsidP="00462767"/>
        </w:tc>
        <w:tc>
          <w:tcPr>
            <w:tcW w:w="3240" w:type="dxa"/>
            <w:tcBorders>
              <w:top w:val="nil"/>
              <w:bottom w:val="nil"/>
            </w:tcBorders>
          </w:tcPr>
          <w:p w14:paraId="0147409A" w14:textId="4F388544" w:rsidR="005175F8" w:rsidRPr="000A7FD1" w:rsidRDefault="005175F8" w:rsidP="00794959">
            <w:pPr>
              <w:pStyle w:val="Table-Head-Left"/>
            </w:pPr>
            <w:r w:rsidRPr="000A7FD1">
              <w:t>Cutoff:</w:t>
            </w:r>
          </w:p>
        </w:tc>
        <w:tc>
          <w:tcPr>
            <w:tcW w:w="4305" w:type="dxa"/>
            <w:tcBorders>
              <w:top w:val="nil"/>
              <w:bottom w:val="nil"/>
            </w:tcBorders>
          </w:tcPr>
          <w:p w14:paraId="2585FE82" w14:textId="77777777" w:rsidR="005175F8" w:rsidRPr="000A7FD1" w:rsidRDefault="005175F8" w:rsidP="00E82333">
            <w:pPr>
              <w:spacing w:before="100" w:beforeAutospacing="1" w:after="100" w:afterAutospacing="1"/>
              <w:contextualSpacing/>
            </w:pPr>
          </w:p>
        </w:tc>
      </w:tr>
      <w:tr w:rsidR="005175F8" w:rsidRPr="000A7FD1" w14:paraId="1205214A" w14:textId="77777777" w:rsidTr="00E82333">
        <w:trPr>
          <w:trHeight w:val="144"/>
        </w:trPr>
        <w:tc>
          <w:tcPr>
            <w:tcW w:w="1800" w:type="dxa"/>
            <w:tcBorders>
              <w:top w:val="nil"/>
              <w:bottom w:val="nil"/>
            </w:tcBorders>
          </w:tcPr>
          <w:p w14:paraId="2263EF2F" w14:textId="77777777" w:rsidR="005175F8" w:rsidRPr="000A7FD1" w:rsidRDefault="005175F8" w:rsidP="00462767"/>
        </w:tc>
        <w:tc>
          <w:tcPr>
            <w:tcW w:w="3240" w:type="dxa"/>
            <w:tcBorders>
              <w:top w:val="nil"/>
              <w:bottom w:val="nil"/>
            </w:tcBorders>
          </w:tcPr>
          <w:p w14:paraId="6EDBB4BA" w14:textId="250F01CF" w:rsidR="0001462C" w:rsidRPr="000A7FD1" w:rsidRDefault="00794959" w:rsidP="00E82333">
            <w:pPr>
              <w:pStyle w:val="TableHanging"/>
              <w:spacing w:before="100" w:beforeAutospacing="1" w:after="100" w:afterAutospacing="1"/>
              <w:ind w:left="490" w:hanging="490"/>
              <w:rPr>
                <w:sz w:val="20"/>
                <w:szCs w:val="20"/>
              </w:rPr>
            </w:pPr>
            <w:r w:rsidRPr="000A7FD1">
              <w:rPr>
                <w:sz w:val="20"/>
                <w:szCs w:val="20"/>
              </w:rPr>
              <w:t>2.</w:t>
            </w:r>
            <w:r w:rsidRPr="000A7FD1">
              <w:rPr>
                <w:sz w:val="20"/>
                <w:szCs w:val="20"/>
              </w:rPr>
              <w:tab/>
            </w:r>
            <w:r w:rsidR="005175F8" w:rsidRPr="000A7FD1">
              <w:rPr>
                <w:sz w:val="20"/>
                <w:szCs w:val="20"/>
              </w:rPr>
              <w:t xml:space="preserve">Transactions </w:t>
            </w:r>
            <w:r w:rsidR="00D6284E" w:rsidRPr="000A7FD1">
              <w:rPr>
                <w:sz w:val="20"/>
                <w:szCs w:val="20"/>
              </w:rPr>
              <w:t xml:space="preserve">and events </w:t>
            </w:r>
            <w:r w:rsidR="005175F8" w:rsidRPr="000A7FD1">
              <w:rPr>
                <w:sz w:val="20"/>
                <w:szCs w:val="20"/>
              </w:rPr>
              <w:t>are recorded in the current period but occurred in a different period.</w:t>
            </w:r>
          </w:p>
        </w:tc>
        <w:tc>
          <w:tcPr>
            <w:tcW w:w="4305" w:type="dxa"/>
            <w:tcBorders>
              <w:top w:val="nil"/>
              <w:bottom w:val="nil"/>
            </w:tcBorders>
          </w:tcPr>
          <w:p w14:paraId="7DB1332C" w14:textId="6413D18D" w:rsidR="005175F8" w:rsidRPr="000A7FD1" w:rsidRDefault="00794959" w:rsidP="00E82333">
            <w:pPr>
              <w:pStyle w:val="TableHanging"/>
              <w:spacing w:before="100" w:beforeAutospacing="1" w:after="100" w:afterAutospacing="1"/>
              <w:ind w:left="490" w:hanging="490"/>
              <w:rPr>
                <w:sz w:val="20"/>
                <w:szCs w:val="20"/>
              </w:rPr>
            </w:pPr>
            <w:r w:rsidRPr="000A7FD1">
              <w:rPr>
                <w:sz w:val="20"/>
                <w:szCs w:val="20"/>
              </w:rPr>
              <w:t>2.</w:t>
            </w:r>
            <w:r w:rsidRPr="000A7FD1">
              <w:rPr>
                <w:sz w:val="20"/>
                <w:szCs w:val="20"/>
              </w:rPr>
              <w:tab/>
            </w:r>
            <w:r w:rsidR="005175F8" w:rsidRPr="000A7FD1">
              <w:rPr>
                <w:sz w:val="20"/>
                <w:szCs w:val="20"/>
              </w:rPr>
              <w:t xml:space="preserve">Transactions </w:t>
            </w:r>
            <w:r w:rsidR="00D6284E" w:rsidRPr="000A7FD1">
              <w:rPr>
                <w:sz w:val="20"/>
                <w:szCs w:val="20"/>
              </w:rPr>
              <w:t xml:space="preserve">and events </w:t>
            </w:r>
            <w:r w:rsidR="005175F8" w:rsidRPr="000A7FD1">
              <w:rPr>
                <w:sz w:val="20"/>
                <w:szCs w:val="20"/>
              </w:rPr>
              <w:t xml:space="preserve">recorded in the current period </w:t>
            </w:r>
            <w:r w:rsidR="00D6284E" w:rsidRPr="000A7FD1">
              <w:rPr>
                <w:sz w:val="20"/>
                <w:szCs w:val="20"/>
              </w:rPr>
              <w:t xml:space="preserve">actually </w:t>
            </w:r>
            <w:r w:rsidR="005175F8" w:rsidRPr="000A7FD1">
              <w:rPr>
                <w:sz w:val="20"/>
                <w:szCs w:val="20"/>
              </w:rPr>
              <w:t xml:space="preserve">occurred </w:t>
            </w:r>
            <w:r w:rsidR="00D6284E" w:rsidRPr="000A7FD1">
              <w:rPr>
                <w:sz w:val="20"/>
                <w:szCs w:val="20"/>
              </w:rPr>
              <w:t xml:space="preserve">in </w:t>
            </w:r>
            <w:r w:rsidR="005175F8" w:rsidRPr="000A7FD1">
              <w:rPr>
                <w:sz w:val="20"/>
                <w:szCs w:val="20"/>
              </w:rPr>
              <w:t>the current period.</w:t>
            </w:r>
          </w:p>
        </w:tc>
      </w:tr>
      <w:tr w:rsidR="005175F8" w:rsidRPr="000A7FD1" w14:paraId="20F2F36C" w14:textId="77777777" w:rsidTr="00E82333">
        <w:trPr>
          <w:trHeight w:val="144"/>
        </w:trPr>
        <w:tc>
          <w:tcPr>
            <w:tcW w:w="1800" w:type="dxa"/>
            <w:tcBorders>
              <w:top w:val="nil"/>
              <w:bottom w:val="nil"/>
            </w:tcBorders>
          </w:tcPr>
          <w:p w14:paraId="69DAC290" w14:textId="77777777" w:rsidR="005175F8" w:rsidRPr="000A7FD1" w:rsidRDefault="005175F8" w:rsidP="00462767"/>
        </w:tc>
        <w:tc>
          <w:tcPr>
            <w:tcW w:w="3240" w:type="dxa"/>
            <w:tcBorders>
              <w:top w:val="nil"/>
              <w:bottom w:val="nil"/>
            </w:tcBorders>
          </w:tcPr>
          <w:p w14:paraId="0866EE60" w14:textId="77777777" w:rsidR="005175F8" w:rsidRPr="000A7FD1" w:rsidRDefault="005175F8" w:rsidP="00794959">
            <w:pPr>
              <w:pStyle w:val="Table-Head-Left"/>
            </w:pPr>
            <w:r w:rsidRPr="000A7FD1">
              <w:t>Summarization:</w:t>
            </w:r>
          </w:p>
        </w:tc>
        <w:tc>
          <w:tcPr>
            <w:tcW w:w="4305" w:type="dxa"/>
            <w:tcBorders>
              <w:top w:val="nil"/>
              <w:bottom w:val="nil"/>
            </w:tcBorders>
          </w:tcPr>
          <w:p w14:paraId="6FD3871A" w14:textId="77777777" w:rsidR="005175F8" w:rsidRPr="000A7FD1" w:rsidRDefault="005175F8" w:rsidP="00462767"/>
        </w:tc>
      </w:tr>
      <w:tr w:rsidR="005175F8" w:rsidRPr="000A7FD1" w14:paraId="327CB0E0" w14:textId="77777777" w:rsidTr="00E82333">
        <w:trPr>
          <w:trHeight w:val="144"/>
        </w:trPr>
        <w:tc>
          <w:tcPr>
            <w:tcW w:w="1800" w:type="dxa"/>
            <w:tcBorders>
              <w:top w:val="nil"/>
              <w:bottom w:val="single" w:sz="6" w:space="0" w:color="auto"/>
            </w:tcBorders>
          </w:tcPr>
          <w:p w14:paraId="23713D32" w14:textId="77777777" w:rsidR="005175F8" w:rsidRPr="000A7FD1" w:rsidRDefault="005175F8" w:rsidP="00462767"/>
        </w:tc>
        <w:tc>
          <w:tcPr>
            <w:tcW w:w="3240" w:type="dxa"/>
            <w:tcBorders>
              <w:top w:val="nil"/>
              <w:bottom w:val="single" w:sz="6" w:space="0" w:color="auto"/>
            </w:tcBorders>
          </w:tcPr>
          <w:p w14:paraId="74660BC6" w14:textId="77777777" w:rsidR="005175F8" w:rsidRPr="000A7FD1" w:rsidRDefault="00794959" w:rsidP="00E82333">
            <w:pPr>
              <w:pStyle w:val="TableHanging"/>
              <w:spacing w:before="100" w:beforeAutospacing="1" w:after="100" w:afterAutospacing="1"/>
              <w:ind w:left="490" w:hanging="490"/>
              <w:rPr>
                <w:sz w:val="20"/>
                <w:szCs w:val="20"/>
              </w:rPr>
            </w:pPr>
            <w:r w:rsidRPr="000A7FD1">
              <w:rPr>
                <w:sz w:val="20"/>
                <w:szCs w:val="20"/>
              </w:rPr>
              <w:t>3.</w:t>
            </w:r>
            <w:r w:rsidRPr="000A7FD1">
              <w:rPr>
                <w:sz w:val="20"/>
                <w:szCs w:val="20"/>
              </w:rPr>
              <w:tab/>
            </w:r>
            <w:r w:rsidR="005175F8" w:rsidRPr="000A7FD1">
              <w:rPr>
                <w:sz w:val="20"/>
                <w:szCs w:val="20"/>
              </w:rPr>
              <w:t>Transactions are summarized improperly, resulting in an overstated total.</w:t>
            </w:r>
          </w:p>
          <w:p w14:paraId="25CC1CEF" w14:textId="77777777" w:rsidR="0021164B" w:rsidRPr="000A7FD1" w:rsidRDefault="0021164B" w:rsidP="00E82333">
            <w:pPr>
              <w:pStyle w:val="TableHanging"/>
              <w:spacing w:before="100" w:beforeAutospacing="1" w:after="100" w:afterAutospacing="1"/>
              <w:ind w:left="490" w:hanging="490"/>
              <w:rPr>
                <w:sz w:val="20"/>
                <w:szCs w:val="20"/>
              </w:rPr>
            </w:pPr>
          </w:p>
          <w:p w14:paraId="4A455B2A" w14:textId="1461BC44" w:rsidR="002E2553" w:rsidRPr="000A7FD1" w:rsidRDefault="002E2553" w:rsidP="00E82333">
            <w:pPr>
              <w:pStyle w:val="TableHanging"/>
              <w:spacing w:before="100" w:beforeAutospacing="1" w:after="100" w:afterAutospacing="1"/>
              <w:ind w:left="490" w:hanging="490"/>
              <w:rPr>
                <w:sz w:val="20"/>
                <w:szCs w:val="20"/>
              </w:rPr>
            </w:pPr>
          </w:p>
        </w:tc>
        <w:tc>
          <w:tcPr>
            <w:tcW w:w="4305" w:type="dxa"/>
            <w:tcBorders>
              <w:top w:val="nil"/>
              <w:bottom w:val="single" w:sz="6" w:space="0" w:color="auto"/>
            </w:tcBorders>
          </w:tcPr>
          <w:p w14:paraId="61C73658" w14:textId="77777777" w:rsidR="005175F8" w:rsidRPr="000A7FD1" w:rsidRDefault="00614CD7" w:rsidP="00E82333">
            <w:pPr>
              <w:pStyle w:val="TableHanging"/>
              <w:spacing w:before="100" w:beforeAutospacing="1" w:after="100" w:afterAutospacing="1"/>
              <w:ind w:left="490" w:hanging="490"/>
              <w:rPr>
                <w:sz w:val="20"/>
                <w:szCs w:val="20"/>
              </w:rPr>
            </w:pPr>
            <w:r w:rsidRPr="000A7FD1">
              <w:rPr>
                <w:sz w:val="20"/>
                <w:szCs w:val="20"/>
              </w:rPr>
              <w:t>3.</w:t>
            </w:r>
            <w:r w:rsidRPr="000A7FD1">
              <w:rPr>
                <w:sz w:val="20"/>
                <w:szCs w:val="20"/>
              </w:rPr>
              <w:tab/>
            </w:r>
            <w:r w:rsidR="005175F8" w:rsidRPr="000A7FD1">
              <w:rPr>
                <w:sz w:val="20"/>
                <w:szCs w:val="20"/>
              </w:rPr>
              <w:t>The summarization of recorded transactions is not overstated.</w:t>
            </w:r>
          </w:p>
        </w:tc>
      </w:tr>
      <w:tr w:rsidR="00310672" w:rsidRPr="000A7FD1" w14:paraId="48652354" w14:textId="77777777" w:rsidTr="00FC65F2">
        <w:trPr>
          <w:trHeight w:val="144"/>
        </w:trPr>
        <w:tc>
          <w:tcPr>
            <w:tcW w:w="1800" w:type="dxa"/>
            <w:vMerge w:val="restart"/>
            <w:tcBorders>
              <w:top w:val="single" w:sz="6" w:space="0" w:color="auto"/>
            </w:tcBorders>
          </w:tcPr>
          <w:p w14:paraId="749A5238" w14:textId="77777777" w:rsidR="00310672" w:rsidRPr="000A7FD1" w:rsidRDefault="00310672" w:rsidP="00462767">
            <w:pPr>
              <w:pStyle w:val="Table-Head-Left"/>
            </w:pPr>
            <w:r w:rsidRPr="000A7FD1">
              <w:lastRenderedPageBreak/>
              <w:t>Existence or occurrence</w:t>
            </w:r>
          </w:p>
        </w:tc>
        <w:tc>
          <w:tcPr>
            <w:tcW w:w="7545" w:type="dxa"/>
            <w:gridSpan w:val="2"/>
            <w:tcBorders>
              <w:top w:val="single" w:sz="6" w:space="0" w:color="auto"/>
              <w:bottom w:val="single" w:sz="6" w:space="0" w:color="auto"/>
            </w:tcBorders>
            <w:shd w:val="clear" w:color="auto" w:fill="D9D9D9" w:themeFill="background1" w:themeFillShade="D9"/>
          </w:tcPr>
          <w:p w14:paraId="5F512E2B" w14:textId="5D7BBAF1" w:rsidR="00310672" w:rsidRPr="000A7FD1" w:rsidRDefault="00310672" w:rsidP="00FC65F2">
            <w:pPr>
              <w:pStyle w:val="Table-Head-Center"/>
              <w:tabs>
                <w:tab w:val="center" w:pos="3088"/>
              </w:tabs>
            </w:pPr>
            <w:r w:rsidRPr="000A7FD1">
              <w:t>Line item/</w:t>
            </w:r>
            <w:r w:rsidR="00247EA9" w:rsidRPr="000A7FD1">
              <w:t xml:space="preserve">account </w:t>
            </w:r>
            <w:r w:rsidRPr="000A7FD1">
              <w:t>related</w:t>
            </w:r>
          </w:p>
        </w:tc>
      </w:tr>
      <w:tr w:rsidR="00310672" w:rsidRPr="000A7FD1" w14:paraId="0C201CB2" w14:textId="77777777" w:rsidTr="00E82333">
        <w:trPr>
          <w:trHeight w:val="144"/>
        </w:trPr>
        <w:tc>
          <w:tcPr>
            <w:tcW w:w="1800" w:type="dxa"/>
            <w:vMerge/>
            <w:tcBorders>
              <w:bottom w:val="nil"/>
            </w:tcBorders>
          </w:tcPr>
          <w:p w14:paraId="6B092315" w14:textId="77777777" w:rsidR="00310672" w:rsidRPr="000A7FD1" w:rsidRDefault="00310672" w:rsidP="00462767"/>
        </w:tc>
        <w:tc>
          <w:tcPr>
            <w:tcW w:w="3240" w:type="dxa"/>
            <w:tcBorders>
              <w:top w:val="single" w:sz="6" w:space="0" w:color="auto"/>
              <w:bottom w:val="nil"/>
            </w:tcBorders>
          </w:tcPr>
          <w:p w14:paraId="5893C71A" w14:textId="675AF6E5" w:rsidR="00310672" w:rsidRPr="000A7FD1" w:rsidRDefault="00E718AC" w:rsidP="00F946A9">
            <w:pPr>
              <w:pStyle w:val="Table-Head-Left"/>
            </w:pPr>
            <w:r w:rsidRPr="000A7FD1">
              <w:t>Existence</w:t>
            </w:r>
            <w:r w:rsidR="00310672" w:rsidRPr="000A7FD1">
              <w:t>:</w:t>
            </w:r>
          </w:p>
        </w:tc>
        <w:tc>
          <w:tcPr>
            <w:tcW w:w="4305" w:type="dxa"/>
            <w:tcBorders>
              <w:top w:val="single" w:sz="6" w:space="0" w:color="auto"/>
              <w:bottom w:val="nil"/>
            </w:tcBorders>
          </w:tcPr>
          <w:p w14:paraId="384A0EA2" w14:textId="77777777" w:rsidR="00310672" w:rsidRPr="000A7FD1" w:rsidRDefault="00310672" w:rsidP="00462767"/>
        </w:tc>
      </w:tr>
      <w:tr w:rsidR="00FD2798" w:rsidRPr="000A7FD1" w14:paraId="473E3F3C" w14:textId="77777777" w:rsidTr="002E6F22">
        <w:trPr>
          <w:trHeight w:val="144"/>
        </w:trPr>
        <w:tc>
          <w:tcPr>
            <w:tcW w:w="1800" w:type="dxa"/>
            <w:vMerge w:val="restart"/>
            <w:tcBorders>
              <w:top w:val="nil"/>
            </w:tcBorders>
          </w:tcPr>
          <w:p w14:paraId="46F982D9" w14:textId="77777777" w:rsidR="00FD2798" w:rsidRPr="000A7FD1" w:rsidRDefault="00FD2798" w:rsidP="00462767"/>
        </w:tc>
        <w:tc>
          <w:tcPr>
            <w:tcW w:w="3240" w:type="dxa"/>
            <w:vMerge w:val="restart"/>
            <w:tcBorders>
              <w:top w:val="nil"/>
              <w:bottom w:val="single" w:sz="4" w:space="0" w:color="auto"/>
            </w:tcBorders>
          </w:tcPr>
          <w:p w14:paraId="6D1DA2C9" w14:textId="27BEA5E1" w:rsidR="00FD2798" w:rsidRPr="000A7FD1" w:rsidRDefault="00FD2798" w:rsidP="00E82333">
            <w:pPr>
              <w:pStyle w:val="TableHanging"/>
              <w:spacing w:before="100" w:beforeAutospacing="1" w:after="100" w:afterAutospacing="1"/>
              <w:contextualSpacing/>
              <w:rPr>
                <w:sz w:val="20"/>
                <w:szCs w:val="20"/>
              </w:rPr>
            </w:pPr>
            <w:r w:rsidRPr="000A7FD1">
              <w:rPr>
                <w:sz w:val="20"/>
                <w:szCs w:val="20"/>
              </w:rPr>
              <w:t>4.</w:t>
            </w:r>
            <w:r w:rsidRPr="000A7FD1">
              <w:rPr>
                <w:sz w:val="20"/>
                <w:szCs w:val="20"/>
              </w:rPr>
              <w:tab/>
              <w:t xml:space="preserve">Recorded assets, liabilities, net position, and budgetary balances do not exist at a given date. Projected revenues or expenditures in the sustainability </w:t>
            </w:r>
            <w:r w:rsidR="00AA56A4" w:rsidRPr="000A7FD1">
              <w:rPr>
                <w:sz w:val="20"/>
                <w:szCs w:val="20"/>
              </w:rPr>
              <w:t xml:space="preserve">financial </w:t>
            </w:r>
            <w:r w:rsidRPr="000A7FD1">
              <w:rPr>
                <w:sz w:val="20"/>
                <w:szCs w:val="20"/>
              </w:rPr>
              <w:t>statements are not valid.</w:t>
            </w:r>
          </w:p>
        </w:tc>
        <w:tc>
          <w:tcPr>
            <w:tcW w:w="4305" w:type="dxa"/>
            <w:tcBorders>
              <w:top w:val="nil"/>
              <w:bottom w:val="nil"/>
            </w:tcBorders>
          </w:tcPr>
          <w:p w14:paraId="31043BAE" w14:textId="57EE77C9" w:rsidR="00FD2798" w:rsidRPr="000A7FD1" w:rsidRDefault="00FD2798" w:rsidP="00E82333">
            <w:pPr>
              <w:pStyle w:val="TableHanging"/>
              <w:spacing w:before="100" w:beforeAutospacing="1" w:after="100" w:afterAutospacing="1"/>
              <w:contextualSpacing/>
              <w:rPr>
                <w:sz w:val="20"/>
                <w:szCs w:val="20"/>
              </w:rPr>
            </w:pPr>
            <w:r w:rsidRPr="000A7FD1">
              <w:rPr>
                <w:sz w:val="20"/>
                <w:szCs w:val="20"/>
              </w:rPr>
              <w:t>4a.</w:t>
            </w:r>
            <w:r w:rsidRPr="000A7FD1">
              <w:rPr>
                <w:sz w:val="20"/>
                <w:szCs w:val="20"/>
              </w:rPr>
              <w:tab/>
              <w:t>Recorded assets, liabilities, net position, and budgetary balances exist at a given date.</w:t>
            </w:r>
          </w:p>
          <w:p w14:paraId="24FADEB3" w14:textId="1A79D173" w:rsidR="00FD2798" w:rsidRPr="000A7FD1" w:rsidRDefault="00FD2798" w:rsidP="00E82333">
            <w:pPr>
              <w:pStyle w:val="TableHanging"/>
              <w:spacing w:before="100" w:beforeAutospacing="1" w:after="100" w:afterAutospacing="1"/>
              <w:contextualSpacing/>
              <w:rPr>
                <w:sz w:val="20"/>
                <w:szCs w:val="20"/>
              </w:rPr>
            </w:pPr>
            <w:r w:rsidRPr="000A7FD1">
              <w:rPr>
                <w:sz w:val="20"/>
                <w:szCs w:val="20"/>
              </w:rPr>
              <w:t>4b.   Assets, liabilities, net position, and budgetary balances are recorded in the proper accounts.</w:t>
            </w:r>
          </w:p>
        </w:tc>
      </w:tr>
      <w:tr w:rsidR="00FD2798" w:rsidRPr="000A7FD1" w14:paraId="2FB0DD44" w14:textId="77777777" w:rsidTr="002E6F22">
        <w:trPr>
          <w:trHeight w:val="144"/>
        </w:trPr>
        <w:tc>
          <w:tcPr>
            <w:tcW w:w="1800" w:type="dxa"/>
            <w:vMerge/>
            <w:tcBorders>
              <w:bottom w:val="nil"/>
            </w:tcBorders>
          </w:tcPr>
          <w:p w14:paraId="3A0CC234" w14:textId="77777777" w:rsidR="00FD2798" w:rsidRPr="000A7FD1" w:rsidRDefault="00FD2798" w:rsidP="00462767"/>
        </w:tc>
        <w:tc>
          <w:tcPr>
            <w:tcW w:w="3240" w:type="dxa"/>
            <w:vMerge/>
            <w:tcBorders>
              <w:top w:val="single" w:sz="4" w:space="0" w:color="auto"/>
              <w:bottom w:val="nil"/>
            </w:tcBorders>
          </w:tcPr>
          <w:p w14:paraId="168323D4" w14:textId="77777777" w:rsidR="00FD2798" w:rsidRPr="000A7FD1" w:rsidRDefault="00FD2798" w:rsidP="00E82333">
            <w:pPr>
              <w:pStyle w:val="TableHanging"/>
              <w:spacing w:before="100" w:beforeAutospacing="1" w:after="100" w:afterAutospacing="1"/>
              <w:ind w:left="0" w:firstLine="0"/>
              <w:contextualSpacing/>
              <w:rPr>
                <w:sz w:val="20"/>
                <w:szCs w:val="20"/>
              </w:rPr>
            </w:pPr>
          </w:p>
        </w:tc>
        <w:tc>
          <w:tcPr>
            <w:tcW w:w="4305" w:type="dxa"/>
            <w:tcBorders>
              <w:top w:val="nil"/>
              <w:bottom w:val="nil"/>
            </w:tcBorders>
          </w:tcPr>
          <w:p w14:paraId="7CC3DD57" w14:textId="3F50C6D2" w:rsidR="00FD2798" w:rsidRPr="000A7FD1" w:rsidRDefault="00FD2798" w:rsidP="00E82333">
            <w:pPr>
              <w:pStyle w:val="TableHanging"/>
              <w:spacing w:before="100" w:beforeAutospacing="1" w:after="100" w:afterAutospacing="1"/>
              <w:contextualSpacing/>
              <w:rPr>
                <w:sz w:val="20"/>
                <w:szCs w:val="20"/>
              </w:rPr>
            </w:pPr>
            <w:r w:rsidRPr="000A7FD1">
              <w:rPr>
                <w:sz w:val="20"/>
                <w:szCs w:val="20"/>
              </w:rPr>
              <w:t>4c.</w:t>
            </w:r>
            <w:r w:rsidRPr="000A7FD1">
              <w:rPr>
                <w:sz w:val="20"/>
                <w:szCs w:val="20"/>
              </w:rPr>
              <w:tab/>
              <w:t>Recorded assets, liabilities, net position, and budgetary balances of the entity, at a given date, are supported by appropriate detailed records that are accurately summarized and reconciled to the account balance.</w:t>
            </w:r>
          </w:p>
          <w:p w14:paraId="400234D0" w14:textId="7FBA1360" w:rsidR="00FD2798" w:rsidRPr="000A7FD1" w:rsidRDefault="00FD2798" w:rsidP="00E82333">
            <w:pPr>
              <w:pStyle w:val="TableHanging"/>
              <w:spacing w:before="100" w:beforeAutospacing="1" w:after="100" w:afterAutospacing="1"/>
              <w:contextualSpacing/>
              <w:rPr>
                <w:sz w:val="20"/>
                <w:szCs w:val="20"/>
              </w:rPr>
            </w:pPr>
            <w:r w:rsidRPr="000A7FD1">
              <w:rPr>
                <w:sz w:val="20"/>
                <w:szCs w:val="20"/>
              </w:rPr>
              <w:t xml:space="preserve">4d.   Projected revenues and expenditures in the sustainability </w:t>
            </w:r>
            <w:r w:rsidR="00AA56A4" w:rsidRPr="000A7FD1">
              <w:rPr>
                <w:sz w:val="20"/>
                <w:szCs w:val="20"/>
              </w:rPr>
              <w:t xml:space="preserve">financial </w:t>
            </w:r>
            <w:r w:rsidRPr="000A7FD1">
              <w:rPr>
                <w:sz w:val="20"/>
                <w:szCs w:val="20"/>
              </w:rPr>
              <w:t>statements are valid.</w:t>
            </w:r>
          </w:p>
        </w:tc>
      </w:tr>
      <w:tr w:rsidR="00310672" w:rsidRPr="000A7FD1" w14:paraId="14430303" w14:textId="77777777" w:rsidTr="00E82333">
        <w:trPr>
          <w:trHeight w:val="144"/>
        </w:trPr>
        <w:tc>
          <w:tcPr>
            <w:tcW w:w="1800" w:type="dxa"/>
            <w:tcBorders>
              <w:top w:val="nil"/>
              <w:bottom w:val="single" w:sz="6" w:space="0" w:color="auto"/>
            </w:tcBorders>
          </w:tcPr>
          <w:p w14:paraId="2F253B0B" w14:textId="77777777" w:rsidR="00310672" w:rsidRPr="000A7FD1" w:rsidRDefault="00310672" w:rsidP="00462767"/>
        </w:tc>
        <w:tc>
          <w:tcPr>
            <w:tcW w:w="3240" w:type="dxa"/>
            <w:tcBorders>
              <w:top w:val="nil"/>
              <w:bottom w:val="single" w:sz="6" w:space="0" w:color="auto"/>
            </w:tcBorders>
          </w:tcPr>
          <w:p w14:paraId="4256D775" w14:textId="77777777" w:rsidR="00310672" w:rsidRPr="000A7FD1" w:rsidRDefault="00310672" w:rsidP="00E82333">
            <w:pPr>
              <w:pStyle w:val="TableHanging"/>
              <w:spacing w:before="100" w:beforeAutospacing="1" w:after="100" w:afterAutospacing="1"/>
              <w:contextualSpacing/>
              <w:rPr>
                <w:sz w:val="20"/>
                <w:szCs w:val="20"/>
              </w:rPr>
            </w:pPr>
          </w:p>
        </w:tc>
        <w:tc>
          <w:tcPr>
            <w:tcW w:w="4305" w:type="dxa"/>
            <w:tcBorders>
              <w:top w:val="nil"/>
              <w:bottom w:val="single" w:sz="6" w:space="0" w:color="auto"/>
            </w:tcBorders>
          </w:tcPr>
          <w:p w14:paraId="45DF0408" w14:textId="18E84B5F" w:rsidR="0001462C" w:rsidRPr="000A7FD1" w:rsidRDefault="00310672" w:rsidP="00E82333">
            <w:pPr>
              <w:pStyle w:val="TableHanging"/>
              <w:spacing w:before="100" w:beforeAutospacing="1" w:after="100" w:afterAutospacing="1"/>
              <w:contextualSpacing/>
              <w:rPr>
                <w:sz w:val="20"/>
                <w:szCs w:val="20"/>
              </w:rPr>
            </w:pPr>
            <w:r w:rsidRPr="000A7FD1">
              <w:rPr>
                <w:sz w:val="20"/>
                <w:szCs w:val="20"/>
              </w:rPr>
              <w:t>4</w:t>
            </w:r>
            <w:r w:rsidR="00A96DB6" w:rsidRPr="000A7FD1">
              <w:rPr>
                <w:sz w:val="20"/>
                <w:szCs w:val="20"/>
              </w:rPr>
              <w:t>e</w:t>
            </w:r>
            <w:r w:rsidRPr="000A7FD1">
              <w:rPr>
                <w:sz w:val="20"/>
                <w:szCs w:val="20"/>
              </w:rPr>
              <w:t>.</w:t>
            </w:r>
            <w:r w:rsidRPr="000A7FD1">
              <w:rPr>
                <w:sz w:val="20"/>
                <w:szCs w:val="20"/>
              </w:rPr>
              <w:tab/>
              <w:t>Access to assets, critical forms, records, and processing and storage areas is permitted only in accordance with laws, regulations, and management policy.</w:t>
            </w:r>
          </w:p>
          <w:p w14:paraId="189481C4" w14:textId="29087E38" w:rsidR="002E2553" w:rsidRPr="000A7FD1" w:rsidRDefault="002E2553" w:rsidP="00E82333">
            <w:pPr>
              <w:pStyle w:val="TableHanging"/>
              <w:spacing w:before="100" w:beforeAutospacing="1" w:after="100" w:afterAutospacing="1"/>
              <w:contextualSpacing/>
              <w:rPr>
                <w:sz w:val="20"/>
                <w:szCs w:val="20"/>
              </w:rPr>
            </w:pPr>
          </w:p>
        </w:tc>
      </w:tr>
      <w:tr w:rsidR="00310672" w:rsidRPr="000A7FD1" w14:paraId="0E0EAE51" w14:textId="77777777" w:rsidTr="00FC65F2">
        <w:trPr>
          <w:trHeight w:val="144"/>
        </w:trPr>
        <w:tc>
          <w:tcPr>
            <w:tcW w:w="1800" w:type="dxa"/>
            <w:tcBorders>
              <w:top w:val="single" w:sz="6" w:space="0" w:color="auto"/>
              <w:bottom w:val="nil"/>
            </w:tcBorders>
          </w:tcPr>
          <w:p w14:paraId="69D75684" w14:textId="77777777" w:rsidR="00310672" w:rsidRPr="000A7FD1" w:rsidRDefault="00310672" w:rsidP="00614CD7">
            <w:pPr>
              <w:pStyle w:val="Table-Head-Left"/>
            </w:pPr>
            <w:r w:rsidRPr="000A7FD1">
              <w:t>Completeness</w:t>
            </w:r>
          </w:p>
        </w:tc>
        <w:tc>
          <w:tcPr>
            <w:tcW w:w="7545" w:type="dxa"/>
            <w:gridSpan w:val="2"/>
            <w:tcBorders>
              <w:top w:val="single" w:sz="6" w:space="0" w:color="auto"/>
              <w:bottom w:val="single" w:sz="6" w:space="0" w:color="auto"/>
            </w:tcBorders>
            <w:shd w:val="clear" w:color="auto" w:fill="D9D9D9" w:themeFill="background1" w:themeFillShade="D9"/>
          </w:tcPr>
          <w:p w14:paraId="051EEA49" w14:textId="49144450" w:rsidR="00310672" w:rsidRPr="000A7FD1" w:rsidRDefault="00310672" w:rsidP="00FC65F2">
            <w:pPr>
              <w:pStyle w:val="Table-Head-Center"/>
              <w:tabs>
                <w:tab w:val="center" w:pos="3088"/>
              </w:tabs>
            </w:pPr>
            <w:r w:rsidRPr="000A7FD1">
              <w:t>Transaction</w:t>
            </w:r>
            <w:r w:rsidR="00247EA9" w:rsidRPr="000A7FD1">
              <w:t xml:space="preserve"> r</w:t>
            </w:r>
            <w:r w:rsidRPr="000A7FD1">
              <w:t>elated</w:t>
            </w:r>
          </w:p>
        </w:tc>
      </w:tr>
      <w:tr w:rsidR="002E2553" w:rsidRPr="000A7FD1" w14:paraId="0630CED8" w14:textId="77777777" w:rsidTr="002E6F22">
        <w:trPr>
          <w:trHeight w:val="144"/>
        </w:trPr>
        <w:tc>
          <w:tcPr>
            <w:tcW w:w="1800" w:type="dxa"/>
            <w:vMerge w:val="restart"/>
            <w:tcBorders>
              <w:top w:val="nil"/>
            </w:tcBorders>
          </w:tcPr>
          <w:p w14:paraId="64420AF4" w14:textId="0182FF79" w:rsidR="002E2553" w:rsidRPr="000A7FD1" w:rsidRDefault="002E2553" w:rsidP="00462767"/>
        </w:tc>
        <w:tc>
          <w:tcPr>
            <w:tcW w:w="3240" w:type="dxa"/>
            <w:tcBorders>
              <w:top w:val="single" w:sz="6" w:space="0" w:color="auto"/>
              <w:bottom w:val="nil"/>
            </w:tcBorders>
          </w:tcPr>
          <w:p w14:paraId="54AB0EF4" w14:textId="77777777" w:rsidR="002E2553" w:rsidRPr="000A7FD1" w:rsidRDefault="002E2553" w:rsidP="00614CD7">
            <w:pPr>
              <w:pStyle w:val="Table-Head-Left"/>
            </w:pPr>
            <w:r w:rsidRPr="000A7FD1">
              <w:t>Transaction completeness:</w:t>
            </w:r>
          </w:p>
        </w:tc>
        <w:tc>
          <w:tcPr>
            <w:tcW w:w="4305" w:type="dxa"/>
            <w:tcBorders>
              <w:top w:val="single" w:sz="6" w:space="0" w:color="auto"/>
              <w:bottom w:val="nil"/>
            </w:tcBorders>
          </w:tcPr>
          <w:p w14:paraId="41697817" w14:textId="77777777" w:rsidR="002E2553" w:rsidRPr="000A7FD1" w:rsidRDefault="002E2553" w:rsidP="00462767"/>
        </w:tc>
      </w:tr>
      <w:tr w:rsidR="002E2553" w:rsidRPr="000A7FD1" w14:paraId="483EF55B" w14:textId="77777777" w:rsidTr="002E6F22">
        <w:trPr>
          <w:trHeight w:val="144"/>
        </w:trPr>
        <w:tc>
          <w:tcPr>
            <w:tcW w:w="1800" w:type="dxa"/>
            <w:vMerge/>
          </w:tcPr>
          <w:p w14:paraId="197BE8B2" w14:textId="3BAB40F8" w:rsidR="002E2553" w:rsidRPr="000A7FD1" w:rsidRDefault="002E2553" w:rsidP="00462767"/>
        </w:tc>
        <w:tc>
          <w:tcPr>
            <w:tcW w:w="3240" w:type="dxa"/>
            <w:tcBorders>
              <w:top w:val="nil"/>
              <w:bottom w:val="nil"/>
            </w:tcBorders>
          </w:tcPr>
          <w:p w14:paraId="419ABF4B" w14:textId="22A03043" w:rsidR="002E2553" w:rsidRPr="000A7FD1" w:rsidRDefault="002E2553" w:rsidP="002E2553">
            <w:pPr>
              <w:pStyle w:val="TableHanging"/>
              <w:spacing w:before="100" w:beforeAutospacing="1" w:after="100" w:afterAutospacing="1"/>
              <w:contextualSpacing/>
              <w:rPr>
                <w:sz w:val="20"/>
                <w:szCs w:val="20"/>
              </w:rPr>
            </w:pPr>
            <w:r w:rsidRPr="000A7FD1">
              <w:rPr>
                <w:sz w:val="20"/>
                <w:szCs w:val="20"/>
              </w:rPr>
              <w:t>5.</w:t>
            </w:r>
            <w:r w:rsidRPr="000A7FD1">
              <w:rPr>
                <w:sz w:val="20"/>
                <w:szCs w:val="20"/>
              </w:rPr>
              <w:tab/>
              <w:t>Valid transactions and events are not recorded or are recorded in the incorrect accounts.</w:t>
            </w:r>
          </w:p>
        </w:tc>
        <w:tc>
          <w:tcPr>
            <w:tcW w:w="4305" w:type="dxa"/>
            <w:tcBorders>
              <w:top w:val="nil"/>
              <w:bottom w:val="nil"/>
            </w:tcBorders>
          </w:tcPr>
          <w:p w14:paraId="2BA79485" w14:textId="0F568805" w:rsidR="002E2553" w:rsidRPr="000A7FD1" w:rsidRDefault="002E2553" w:rsidP="002E2553">
            <w:pPr>
              <w:pStyle w:val="TableHanging"/>
              <w:spacing w:before="100" w:beforeAutospacing="1" w:after="100" w:afterAutospacing="1"/>
              <w:contextualSpacing/>
              <w:rPr>
                <w:sz w:val="20"/>
                <w:szCs w:val="20"/>
              </w:rPr>
            </w:pPr>
            <w:r w:rsidRPr="000A7FD1">
              <w:rPr>
                <w:sz w:val="20"/>
                <w:szCs w:val="20"/>
              </w:rPr>
              <w:t>5.</w:t>
            </w:r>
            <w:r w:rsidRPr="000A7FD1">
              <w:rPr>
                <w:sz w:val="20"/>
                <w:szCs w:val="20"/>
              </w:rPr>
              <w:tab/>
              <w:t>All valid transactions and events are recorded in the proper accounts.</w:t>
            </w:r>
          </w:p>
          <w:p w14:paraId="68A976C9" w14:textId="76684F61" w:rsidR="002E2553" w:rsidRPr="000A7FD1" w:rsidRDefault="002E2553" w:rsidP="002E2553">
            <w:pPr>
              <w:pStyle w:val="TableHanging"/>
              <w:spacing w:before="100" w:beforeAutospacing="1" w:after="100" w:afterAutospacing="1"/>
              <w:ind w:left="0" w:firstLine="0"/>
              <w:contextualSpacing/>
              <w:rPr>
                <w:sz w:val="20"/>
                <w:szCs w:val="20"/>
              </w:rPr>
            </w:pPr>
          </w:p>
        </w:tc>
      </w:tr>
      <w:tr w:rsidR="002E2553" w:rsidRPr="000A7FD1" w14:paraId="574AA37D" w14:textId="77777777" w:rsidTr="0021164B">
        <w:trPr>
          <w:trHeight w:val="144"/>
        </w:trPr>
        <w:tc>
          <w:tcPr>
            <w:tcW w:w="1800" w:type="dxa"/>
            <w:vMerge/>
          </w:tcPr>
          <w:p w14:paraId="325772F6" w14:textId="22A4F757" w:rsidR="002E2553" w:rsidRPr="000A7FD1" w:rsidRDefault="002E2553" w:rsidP="00462767"/>
        </w:tc>
        <w:tc>
          <w:tcPr>
            <w:tcW w:w="3240" w:type="dxa"/>
            <w:tcBorders>
              <w:top w:val="nil"/>
              <w:bottom w:val="nil"/>
            </w:tcBorders>
          </w:tcPr>
          <w:p w14:paraId="5FE2051B" w14:textId="77777777" w:rsidR="002E2553" w:rsidRPr="000A7FD1" w:rsidRDefault="002E2553" w:rsidP="00614CD7">
            <w:pPr>
              <w:pStyle w:val="Table-Head-Left"/>
            </w:pPr>
            <w:r w:rsidRPr="000A7FD1">
              <w:t>Cutoff:</w:t>
            </w:r>
          </w:p>
        </w:tc>
        <w:tc>
          <w:tcPr>
            <w:tcW w:w="4305" w:type="dxa"/>
            <w:tcBorders>
              <w:top w:val="nil"/>
              <w:bottom w:val="nil"/>
            </w:tcBorders>
          </w:tcPr>
          <w:p w14:paraId="7CEAD06B" w14:textId="77777777" w:rsidR="002E2553" w:rsidRPr="000A7FD1" w:rsidRDefault="002E2553" w:rsidP="00462767"/>
        </w:tc>
      </w:tr>
      <w:tr w:rsidR="002E2553" w:rsidRPr="000A7FD1" w14:paraId="7B9F7CE7" w14:textId="77777777" w:rsidTr="0021164B">
        <w:trPr>
          <w:trHeight w:val="144"/>
        </w:trPr>
        <w:tc>
          <w:tcPr>
            <w:tcW w:w="1800" w:type="dxa"/>
            <w:vMerge/>
          </w:tcPr>
          <w:p w14:paraId="656ECDBF" w14:textId="12E6C3FB" w:rsidR="002E2553" w:rsidRPr="000A7FD1" w:rsidRDefault="002E2553" w:rsidP="00462767"/>
        </w:tc>
        <w:tc>
          <w:tcPr>
            <w:tcW w:w="3240" w:type="dxa"/>
            <w:tcBorders>
              <w:top w:val="nil"/>
              <w:bottom w:val="nil"/>
            </w:tcBorders>
          </w:tcPr>
          <w:p w14:paraId="6B884EA1" w14:textId="5ED68343" w:rsidR="002E2553" w:rsidRPr="000A7FD1" w:rsidRDefault="002E2553" w:rsidP="002E2553">
            <w:pPr>
              <w:pStyle w:val="TableHanging"/>
              <w:spacing w:before="100" w:beforeAutospacing="1" w:after="100" w:afterAutospacing="1"/>
              <w:ind w:left="490" w:hanging="490"/>
              <w:contextualSpacing/>
              <w:rPr>
                <w:sz w:val="20"/>
                <w:szCs w:val="20"/>
              </w:rPr>
            </w:pPr>
            <w:r w:rsidRPr="000A7FD1">
              <w:rPr>
                <w:sz w:val="20"/>
                <w:szCs w:val="20"/>
              </w:rPr>
              <w:t>6.</w:t>
            </w:r>
            <w:r w:rsidRPr="000A7FD1">
              <w:rPr>
                <w:sz w:val="20"/>
                <w:szCs w:val="20"/>
              </w:rPr>
              <w:tab/>
              <w:t>Transactions and events occurred in the current period but are recorded in a different period.</w:t>
            </w:r>
          </w:p>
          <w:p w14:paraId="66D80255" w14:textId="77FE22C1" w:rsidR="002E2553" w:rsidRPr="000A7FD1" w:rsidRDefault="002E2553" w:rsidP="002E2553">
            <w:pPr>
              <w:pStyle w:val="TableHanging"/>
              <w:spacing w:before="100" w:beforeAutospacing="1" w:after="100" w:afterAutospacing="1"/>
              <w:ind w:left="490" w:hanging="490"/>
              <w:contextualSpacing/>
              <w:rPr>
                <w:sz w:val="20"/>
                <w:szCs w:val="20"/>
              </w:rPr>
            </w:pPr>
          </w:p>
        </w:tc>
        <w:tc>
          <w:tcPr>
            <w:tcW w:w="4305" w:type="dxa"/>
            <w:tcBorders>
              <w:top w:val="nil"/>
              <w:bottom w:val="nil"/>
            </w:tcBorders>
          </w:tcPr>
          <w:p w14:paraId="07DE70F1" w14:textId="6C1551B9" w:rsidR="002E2553" w:rsidRPr="000A7FD1" w:rsidRDefault="002E2553" w:rsidP="002E2553">
            <w:pPr>
              <w:pStyle w:val="TableHanging"/>
              <w:spacing w:before="100" w:beforeAutospacing="1" w:after="100" w:afterAutospacing="1"/>
              <w:ind w:left="490" w:hanging="490"/>
              <w:contextualSpacing/>
              <w:rPr>
                <w:sz w:val="20"/>
                <w:szCs w:val="20"/>
              </w:rPr>
            </w:pPr>
            <w:r w:rsidRPr="000A7FD1">
              <w:rPr>
                <w:sz w:val="20"/>
                <w:szCs w:val="20"/>
              </w:rPr>
              <w:t>6.</w:t>
            </w:r>
            <w:r w:rsidRPr="000A7FD1">
              <w:rPr>
                <w:sz w:val="20"/>
                <w:szCs w:val="20"/>
              </w:rPr>
              <w:tab/>
              <w:t>All transactions and events that occurred in the current period are recorded in the current period.</w:t>
            </w:r>
          </w:p>
        </w:tc>
      </w:tr>
      <w:tr w:rsidR="002E2553" w:rsidRPr="000A7FD1" w14:paraId="088E9B03" w14:textId="77777777" w:rsidTr="0021164B">
        <w:trPr>
          <w:trHeight w:val="144"/>
        </w:trPr>
        <w:tc>
          <w:tcPr>
            <w:tcW w:w="1800" w:type="dxa"/>
            <w:vMerge/>
          </w:tcPr>
          <w:p w14:paraId="3087A254" w14:textId="123AD72B" w:rsidR="002E2553" w:rsidRPr="000A7FD1" w:rsidRDefault="002E2553" w:rsidP="00462767">
            <w:pPr>
              <w:rPr>
                <w:b/>
              </w:rPr>
            </w:pPr>
          </w:p>
        </w:tc>
        <w:tc>
          <w:tcPr>
            <w:tcW w:w="3240" w:type="dxa"/>
            <w:tcBorders>
              <w:top w:val="nil"/>
              <w:bottom w:val="nil"/>
            </w:tcBorders>
          </w:tcPr>
          <w:p w14:paraId="5E6B4675" w14:textId="77777777" w:rsidR="002E2553" w:rsidRPr="000A7FD1" w:rsidRDefault="002E2553" w:rsidP="00614CD7">
            <w:pPr>
              <w:pStyle w:val="Table-Head-Left"/>
            </w:pPr>
            <w:r w:rsidRPr="000A7FD1">
              <w:t>Summarization:</w:t>
            </w:r>
          </w:p>
        </w:tc>
        <w:tc>
          <w:tcPr>
            <w:tcW w:w="4305" w:type="dxa"/>
            <w:tcBorders>
              <w:top w:val="nil"/>
              <w:bottom w:val="nil"/>
            </w:tcBorders>
          </w:tcPr>
          <w:p w14:paraId="547ADD74" w14:textId="77777777" w:rsidR="002E2553" w:rsidRPr="000A7FD1" w:rsidRDefault="002E2553" w:rsidP="00462767"/>
        </w:tc>
      </w:tr>
      <w:tr w:rsidR="002E2553" w:rsidRPr="000A7FD1" w14:paraId="35C7331A" w14:textId="77777777" w:rsidTr="004112B3">
        <w:trPr>
          <w:trHeight w:val="144"/>
        </w:trPr>
        <w:tc>
          <w:tcPr>
            <w:tcW w:w="1800" w:type="dxa"/>
            <w:vMerge/>
            <w:tcBorders>
              <w:bottom w:val="single" w:sz="4" w:space="0" w:color="auto"/>
            </w:tcBorders>
          </w:tcPr>
          <w:p w14:paraId="61DD7CD5" w14:textId="6A0AAEE7" w:rsidR="002E2553" w:rsidRPr="000A7FD1" w:rsidRDefault="002E2553" w:rsidP="00FD3DA6"/>
        </w:tc>
        <w:tc>
          <w:tcPr>
            <w:tcW w:w="3240" w:type="dxa"/>
            <w:tcBorders>
              <w:top w:val="nil"/>
              <w:bottom w:val="single" w:sz="4" w:space="0" w:color="auto"/>
            </w:tcBorders>
          </w:tcPr>
          <w:p w14:paraId="3B9E13F2" w14:textId="77777777" w:rsidR="002E2553" w:rsidRPr="000A7FD1" w:rsidRDefault="002E2553" w:rsidP="002E2553">
            <w:pPr>
              <w:pStyle w:val="TableHanging"/>
              <w:spacing w:before="100" w:beforeAutospacing="1" w:after="100" w:afterAutospacing="1"/>
              <w:ind w:left="490" w:hanging="490"/>
              <w:contextualSpacing/>
              <w:rPr>
                <w:sz w:val="20"/>
                <w:szCs w:val="20"/>
              </w:rPr>
            </w:pPr>
            <w:r w:rsidRPr="000A7FD1">
              <w:rPr>
                <w:sz w:val="20"/>
                <w:szCs w:val="20"/>
              </w:rPr>
              <w:t>7.</w:t>
            </w:r>
            <w:r w:rsidRPr="000A7FD1">
              <w:rPr>
                <w:sz w:val="20"/>
                <w:szCs w:val="20"/>
              </w:rPr>
              <w:tab/>
              <w:t>Transactions are summarized improperly, resulting in an understated total.</w:t>
            </w:r>
          </w:p>
          <w:p w14:paraId="762175F7" w14:textId="77777777" w:rsidR="0021164B" w:rsidRPr="000A7FD1" w:rsidRDefault="0021164B" w:rsidP="002E2553">
            <w:pPr>
              <w:pStyle w:val="TableHanging"/>
              <w:spacing w:before="100" w:beforeAutospacing="1" w:after="100" w:afterAutospacing="1"/>
              <w:ind w:left="490" w:hanging="490"/>
              <w:contextualSpacing/>
              <w:rPr>
                <w:sz w:val="20"/>
                <w:szCs w:val="20"/>
              </w:rPr>
            </w:pPr>
          </w:p>
          <w:p w14:paraId="79706882" w14:textId="77777777" w:rsidR="0021164B" w:rsidRPr="000A7FD1" w:rsidRDefault="0021164B" w:rsidP="002E2553">
            <w:pPr>
              <w:pStyle w:val="TableHanging"/>
              <w:spacing w:before="100" w:beforeAutospacing="1" w:after="100" w:afterAutospacing="1"/>
              <w:ind w:left="490" w:hanging="490"/>
              <w:contextualSpacing/>
              <w:rPr>
                <w:sz w:val="20"/>
                <w:szCs w:val="20"/>
              </w:rPr>
            </w:pPr>
          </w:p>
          <w:p w14:paraId="14F163D4" w14:textId="77777777" w:rsidR="0021164B" w:rsidRPr="000A7FD1" w:rsidRDefault="0021164B" w:rsidP="002E2553">
            <w:pPr>
              <w:pStyle w:val="TableHanging"/>
              <w:spacing w:before="100" w:beforeAutospacing="1" w:after="100" w:afterAutospacing="1"/>
              <w:ind w:left="490" w:hanging="490"/>
              <w:contextualSpacing/>
              <w:rPr>
                <w:sz w:val="20"/>
                <w:szCs w:val="20"/>
              </w:rPr>
            </w:pPr>
          </w:p>
          <w:p w14:paraId="01B596DB" w14:textId="77777777" w:rsidR="0021164B" w:rsidRPr="000A7FD1" w:rsidRDefault="0021164B" w:rsidP="002E2553">
            <w:pPr>
              <w:pStyle w:val="TableHanging"/>
              <w:spacing w:before="100" w:beforeAutospacing="1" w:after="100" w:afterAutospacing="1"/>
              <w:ind w:left="490" w:hanging="490"/>
              <w:contextualSpacing/>
              <w:rPr>
                <w:sz w:val="20"/>
                <w:szCs w:val="20"/>
              </w:rPr>
            </w:pPr>
          </w:p>
          <w:p w14:paraId="63F33BE7" w14:textId="77777777" w:rsidR="0021164B" w:rsidRPr="000A7FD1" w:rsidRDefault="0021164B" w:rsidP="002E2553">
            <w:pPr>
              <w:pStyle w:val="TableHanging"/>
              <w:spacing w:before="100" w:beforeAutospacing="1" w:after="100" w:afterAutospacing="1"/>
              <w:ind w:left="490" w:hanging="490"/>
              <w:contextualSpacing/>
              <w:rPr>
                <w:sz w:val="20"/>
                <w:szCs w:val="20"/>
              </w:rPr>
            </w:pPr>
          </w:p>
          <w:p w14:paraId="4BC14758" w14:textId="77777777" w:rsidR="0021164B" w:rsidRPr="000A7FD1" w:rsidRDefault="0021164B" w:rsidP="002E2553">
            <w:pPr>
              <w:pStyle w:val="TableHanging"/>
              <w:spacing w:before="100" w:beforeAutospacing="1" w:after="100" w:afterAutospacing="1"/>
              <w:ind w:left="490" w:hanging="490"/>
              <w:contextualSpacing/>
              <w:rPr>
                <w:sz w:val="20"/>
                <w:szCs w:val="20"/>
              </w:rPr>
            </w:pPr>
          </w:p>
          <w:p w14:paraId="090AE0CF" w14:textId="77777777" w:rsidR="0021164B" w:rsidRPr="000A7FD1" w:rsidRDefault="0021164B" w:rsidP="002E2553">
            <w:pPr>
              <w:pStyle w:val="TableHanging"/>
              <w:spacing w:before="100" w:beforeAutospacing="1" w:after="100" w:afterAutospacing="1"/>
              <w:ind w:left="490" w:hanging="490"/>
              <w:contextualSpacing/>
              <w:rPr>
                <w:sz w:val="20"/>
                <w:szCs w:val="20"/>
              </w:rPr>
            </w:pPr>
          </w:p>
        </w:tc>
        <w:tc>
          <w:tcPr>
            <w:tcW w:w="4305" w:type="dxa"/>
            <w:tcBorders>
              <w:top w:val="nil"/>
              <w:bottom w:val="single" w:sz="4" w:space="0" w:color="auto"/>
            </w:tcBorders>
          </w:tcPr>
          <w:p w14:paraId="015F081F" w14:textId="77777777" w:rsidR="002E2553" w:rsidRPr="000A7FD1" w:rsidRDefault="002E2553" w:rsidP="002E2553">
            <w:pPr>
              <w:pStyle w:val="TableHanging"/>
              <w:spacing w:before="100" w:beforeAutospacing="1" w:after="100" w:afterAutospacing="1"/>
              <w:ind w:left="490" w:hanging="490"/>
              <w:contextualSpacing/>
              <w:rPr>
                <w:sz w:val="20"/>
                <w:szCs w:val="20"/>
              </w:rPr>
            </w:pPr>
            <w:r w:rsidRPr="000A7FD1">
              <w:rPr>
                <w:sz w:val="20"/>
                <w:szCs w:val="20"/>
              </w:rPr>
              <w:t>7.</w:t>
            </w:r>
            <w:r w:rsidRPr="000A7FD1">
              <w:rPr>
                <w:sz w:val="20"/>
                <w:szCs w:val="20"/>
              </w:rPr>
              <w:tab/>
              <w:t>The summarization of recorded transactions is not understated.</w:t>
            </w:r>
          </w:p>
        </w:tc>
      </w:tr>
      <w:tr w:rsidR="002E2553" w:rsidRPr="000A7FD1" w14:paraId="6EE2EE99" w14:textId="77777777" w:rsidTr="004112B3">
        <w:trPr>
          <w:trHeight w:val="144"/>
        </w:trPr>
        <w:tc>
          <w:tcPr>
            <w:tcW w:w="1800" w:type="dxa"/>
            <w:vMerge/>
            <w:tcBorders>
              <w:top w:val="single" w:sz="4" w:space="0" w:color="auto"/>
            </w:tcBorders>
          </w:tcPr>
          <w:p w14:paraId="36003BDF" w14:textId="1333E83D" w:rsidR="002E2553" w:rsidRPr="000A7FD1" w:rsidRDefault="002E2553" w:rsidP="00FD3DA6">
            <w:pPr>
              <w:rPr>
                <w:b/>
              </w:rPr>
            </w:pPr>
          </w:p>
        </w:tc>
        <w:tc>
          <w:tcPr>
            <w:tcW w:w="7545" w:type="dxa"/>
            <w:gridSpan w:val="2"/>
            <w:tcBorders>
              <w:top w:val="single" w:sz="4" w:space="0" w:color="auto"/>
              <w:bottom w:val="single" w:sz="6" w:space="0" w:color="auto"/>
            </w:tcBorders>
            <w:shd w:val="clear" w:color="auto" w:fill="D9D9D9" w:themeFill="background1" w:themeFillShade="D9"/>
          </w:tcPr>
          <w:p w14:paraId="4205ADA2" w14:textId="374D03A0" w:rsidR="002E2553" w:rsidRPr="000A7FD1" w:rsidRDefault="002E2553" w:rsidP="00E82333">
            <w:pPr>
              <w:pStyle w:val="Table-Head-Center"/>
              <w:pageBreakBefore/>
              <w:tabs>
                <w:tab w:val="center" w:pos="3088"/>
              </w:tabs>
            </w:pPr>
            <w:r w:rsidRPr="000A7FD1">
              <w:t>Line item/account</w:t>
            </w:r>
            <w:r w:rsidR="00247EA9" w:rsidRPr="000A7FD1">
              <w:t xml:space="preserve"> </w:t>
            </w:r>
            <w:r w:rsidRPr="000A7FD1">
              <w:t>related</w:t>
            </w:r>
          </w:p>
        </w:tc>
      </w:tr>
      <w:tr w:rsidR="002E2553" w:rsidRPr="000A7FD1" w14:paraId="2848B086" w14:textId="77777777" w:rsidTr="00E82333">
        <w:trPr>
          <w:trHeight w:val="144"/>
        </w:trPr>
        <w:tc>
          <w:tcPr>
            <w:tcW w:w="1800" w:type="dxa"/>
            <w:vMerge/>
          </w:tcPr>
          <w:p w14:paraId="12E8601E" w14:textId="77777777" w:rsidR="002E2553" w:rsidRPr="000A7FD1" w:rsidRDefault="002E2553" w:rsidP="00462767"/>
        </w:tc>
        <w:tc>
          <w:tcPr>
            <w:tcW w:w="3240" w:type="dxa"/>
            <w:tcBorders>
              <w:top w:val="single" w:sz="6" w:space="0" w:color="auto"/>
              <w:bottom w:val="nil"/>
            </w:tcBorders>
          </w:tcPr>
          <w:p w14:paraId="77BC0E2D" w14:textId="77777777" w:rsidR="002E2553" w:rsidRPr="000A7FD1" w:rsidRDefault="002E2553" w:rsidP="00614CD7">
            <w:pPr>
              <w:pStyle w:val="Table-Head-Left"/>
            </w:pPr>
            <w:r w:rsidRPr="000A7FD1">
              <w:t>Account completeness:</w:t>
            </w:r>
          </w:p>
        </w:tc>
        <w:tc>
          <w:tcPr>
            <w:tcW w:w="4305" w:type="dxa"/>
            <w:tcBorders>
              <w:top w:val="single" w:sz="6" w:space="0" w:color="auto"/>
              <w:bottom w:val="nil"/>
            </w:tcBorders>
          </w:tcPr>
          <w:p w14:paraId="0478C5CB" w14:textId="77777777" w:rsidR="002E2553" w:rsidRPr="000A7FD1" w:rsidRDefault="002E2553" w:rsidP="00462767"/>
        </w:tc>
      </w:tr>
      <w:tr w:rsidR="002E2553" w:rsidRPr="000A7FD1" w14:paraId="58B679B5" w14:textId="77777777" w:rsidTr="004112B3">
        <w:trPr>
          <w:trHeight w:val="144"/>
        </w:trPr>
        <w:tc>
          <w:tcPr>
            <w:tcW w:w="1800" w:type="dxa"/>
            <w:vMerge/>
            <w:tcBorders>
              <w:bottom w:val="single" w:sz="6" w:space="0" w:color="auto"/>
            </w:tcBorders>
          </w:tcPr>
          <w:p w14:paraId="07A8CBDE" w14:textId="77777777" w:rsidR="002E2553" w:rsidRPr="000A7FD1" w:rsidRDefault="002E2553" w:rsidP="00462767"/>
        </w:tc>
        <w:tc>
          <w:tcPr>
            <w:tcW w:w="3240" w:type="dxa"/>
            <w:tcBorders>
              <w:top w:val="nil"/>
              <w:bottom w:val="single" w:sz="6" w:space="0" w:color="auto"/>
            </w:tcBorders>
          </w:tcPr>
          <w:p w14:paraId="71A1A630" w14:textId="2090D370" w:rsidR="002E2553" w:rsidRPr="000A7FD1" w:rsidRDefault="002E2553" w:rsidP="002E2553">
            <w:pPr>
              <w:pStyle w:val="TableHanging"/>
              <w:spacing w:before="100" w:beforeAutospacing="1" w:after="100" w:afterAutospacing="1"/>
              <w:ind w:left="490" w:hanging="490"/>
              <w:contextualSpacing/>
              <w:rPr>
                <w:sz w:val="20"/>
                <w:szCs w:val="20"/>
              </w:rPr>
            </w:pPr>
            <w:r w:rsidRPr="000A7FD1">
              <w:rPr>
                <w:sz w:val="20"/>
                <w:szCs w:val="20"/>
              </w:rPr>
              <w:t>8.</w:t>
            </w:r>
            <w:r w:rsidRPr="000A7FD1">
              <w:rPr>
                <w:sz w:val="20"/>
                <w:szCs w:val="20"/>
              </w:rPr>
              <w:tab/>
              <w:t xml:space="preserve">Assets, liabilities, net position, and budgetary balances of the entity exist but are not recorded in the </w:t>
            </w:r>
            <w:r w:rsidR="00D34ECF" w:rsidRPr="000A7FD1">
              <w:rPr>
                <w:sz w:val="20"/>
                <w:szCs w:val="20"/>
              </w:rPr>
              <w:t>proper</w:t>
            </w:r>
            <w:r w:rsidRPr="000A7FD1">
              <w:rPr>
                <w:sz w:val="20"/>
                <w:szCs w:val="20"/>
              </w:rPr>
              <w:t xml:space="preserve"> period or accounts or are omitted from the financial statements. Projections in the sustainability </w:t>
            </w:r>
            <w:r w:rsidR="00AA56A4" w:rsidRPr="000A7FD1">
              <w:rPr>
                <w:sz w:val="20"/>
                <w:szCs w:val="20"/>
              </w:rPr>
              <w:t xml:space="preserve">financial </w:t>
            </w:r>
            <w:r w:rsidRPr="000A7FD1">
              <w:rPr>
                <w:sz w:val="20"/>
                <w:szCs w:val="20"/>
              </w:rPr>
              <w:t>statements do not include all estimated future revenues and expenditures at present value that should have been included.</w:t>
            </w:r>
          </w:p>
        </w:tc>
        <w:tc>
          <w:tcPr>
            <w:tcW w:w="4305" w:type="dxa"/>
            <w:tcBorders>
              <w:top w:val="nil"/>
              <w:bottom w:val="single" w:sz="6" w:space="0" w:color="auto"/>
            </w:tcBorders>
          </w:tcPr>
          <w:p w14:paraId="34DD35C5" w14:textId="6F0C4002" w:rsidR="002E2553" w:rsidRPr="000A7FD1" w:rsidRDefault="002E2553" w:rsidP="002E2553">
            <w:pPr>
              <w:pStyle w:val="TableHanging"/>
              <w:spacing w:before="100" w:beforeAutospacing="1" w:after="100" w:afterAutospacing="1"/>
              <w:ind w:left="490" w:hanging="490"/>
              <w:contextualSpacing/>
              <w:rPr>
                <w:sz w:val="20"/>
                <w:szCs w:val="20"/>
              </w:rPr>
            </w:pPr>
            <w:r w:rsidRPr="000A7FD1">
              <w:rPr>
                <w:sz w:val="20"/>
                <w:szCs w:val="20"/>
              </w:rPr>
              <w:t>8a.</w:t>
            </w:r>
            <w:r w:rsidRPr="000A7FD1">
              <w:rPr>
                <w:sz w:val="20"/>
                <w:szCs w:val="20"/>
              </w:rPr>
              <w:tab/>
              <w:t>All assets, liabilities, net position, and budgetary balances that should have been recorded have been recorded in the proper period and accounts and</w:t>
            </w:r>
            <w:r w:rsidR="00921FA6" w:rsidRPr="000A7FD1">
              <w:rPr>
                <w:sz w:val="20"/>
                <w:szCs w:val="20"/>
              </w:rPr>
              <w:t xml:space="preserve"> are</w:t>
            </w:r>
            <w:r w:rsidRPr="000A7FD1">
              <w:rPr>
                <w:sz w:val="20"/>
                <w:szCs w:val="20"/>
              </w:rPr>
              <w:t xml:space="preserve"> properly included in the financial statements. </w:t>
            </w:r>
          </w:p>
          <w:p w14:paraId="61717586" w14:textId="388A3808" w:rsidR="002E2553" w:rsidRPr="000A7FD1" w:rsidRDefault="002E2553" w:rsidP="002E2553">
            <w:pPr>
              <w:pStyle w:val="TableHanging"/>
              <w:spacing w:before="100" w:beforeAutospacing="1" w:after="100" w:afterAutospacing="1"/>
              <w:ind w:left="490" w:hanging="490"/>
              <w:contextualSpacing/>
              <w:rPr>
                <w:sz w:val="20"/>
                <w:szCs w:val="20"/>
              </w:rPr>
            </w:pPr>
            <w:r w:rsidRPr="000A7FD1">
              <w:rPr>
                <w:sz w:val="20"/>
                <w:szCs w:val="20"/>
              </w:rPr>
              <w:t xml:space="preserve">8b.   Projections in the sustainability </w:t>
            </w:r>
            <w:r w:rsidR="00AA56A4" w:rsidRPr="000A7FD1">
              <w:rPr>
                <w:sz w:val="20"/>
                <w:szCs w:val="20"/>
              </w:rPr>
              <w:t xml:space="preserve">financial </w:t>
            </w:r>
            <w:r w:rsidRPr="000A7FD1">
              <w:rPr>
                <w:sz w:val="20"/>
                <w:szCs w:val="20"/>
              </w:rPr>
              <w:t>statements include all estimated future revenues and expenditures at present value that should have been included.</w:t>
            </w:r>
          </w:p>
        </w:tc>
      </w:tr>
      <w:tr w:rsidR="0021164B" w:rsidRPr="000A7FD1" w14:paraId="0006ECDA" w14:textId="77777777" w:rsidTr="0011240E">
        <w:trPr>
          <w:trHeight w:val="144"/>
        </w:trPr>
        <w:tc>
          <w:tcPr>
            <w:tcW w:w="1800" w:type="dxa"/>
            <w:vMerge w:val="restart"/>
            <w:tcBorders>
              <w:top w:val="single" w:sz="6" w:space="0" w:color="auto"/>
            </w:tcBorders>
          </w:tcPr>
          <w:p w14:paraId="6B680166" w14:textId="44008224" w:rsidR="0021164B" w:rsidRPr="000A7FD1" w:rsidRDefault="0021164B" w:rsidP="00882FA9">
            <w:pPr>
              <w:pStyle w:val="Table-Head-Left"/>
            </w:pPr>
            <w:r w:rsidRPr="000A7FD1">
              <w:t>Accuracy, valuation, and allocation</w:t>
            </w:r>
          </w:p>
        </w:tc>
        <w:tc>
          <w:tcPr>
            <w:tcW w:w="7545" w:type="dxa"/>
            <w:gridSpan w:val="2"/>
            <w:tcBorders>
              <w:top w:val="single" w:sz="6" w:space="0" w:color="auto"/>
              <w:bottom w:val="single" w:sz="6" w:space="0" w:color="auto"/>
            </w:tcBorders>
            <w:shd w:val="clear" w:color="auto" w:fill="D9D9D9" w:themeFill="background1" w:themeFillShade="D9"/>
          </w:tcPr>
          <w:p w14:paraId="100A8E6F" w14:textId="6648395B" w:rsidR="0021164B" w:rsidRPr="000A7FD1" w:rsidRDefault="0021164B" w:rsidP="00614CD7">
            <w:pPr>
              <w:pStyle w:val="Table-Head-Center"/>
              <w:tabs>
                <w:tab w:val="center" w:pos="3088"/>
              </w:tabs>
              <w:jc w:val="left"/>
            </w:pPr>
            <w:r w:rsidRPr="000A7FD1">
              <w:tab/>
              <w:t>Transaction related</w:t>
            </w:r>
          </w:p>
        </w:tc>
      </w:tr>
      <w:tr w:rsidR="0021164B" w:rsidRPr="000A7FD1" w14:paraId="65D13BB0" w14:textId="77777777" w:rsidTr="0011240E">
        <w:trPr>
          <w:trHeight w:val="144"/>
        </w:trPr>
        <w:tc>
          <w:tcPr>
            <w:tcW w:w="1800" w:type="dxa"/>
            <w:vMerge/>
          </w:tcPr>
          <w:p w14:paraId="24B92756" w14:textId="77777777" w:rsidR="0021164B" w:rsidRPr="000A7FD1" w:rsidRDefault="0021164B" w:rsidP="00462767"/>
        </w:tc>
        <w:tc>
          <w:tcPr>
            <w:tcW w:w="3240" w:type="dxa"/>
            <w:tcBorders>
              <w:top w:val="single" w:sz="6" w:space="0" w:color="auto"/>
              <w:bottom w:val="nil"/>
            </w:tcBorders>
          </w:tcPr>
          <w:p w14:paraId="6E26D44D" w14:textId="77777777" w:rsidR="0021164B" w:rsidRPr="000A7FD1" w:rsidRDefault="0021164B" w:rsidP="00614CD7">
            <w:pPr>
              <w:pStyle w:val="Table-Head-Left"/>
            </w:pPr>
            <w:r w:rsidRPr="000A7FD1">
              <w:t>Accuracy:</w:t>
            </w:r>
          </w:p>
        </w:tc>
        <w:tc>
          <w:tcPr>
            <w:tcW w:w="4305" w:type="dxa"/>
            <w:tcBorders>
              <w:top w:val="single" w:sz="6" w:space="0" w:color="auto"/>
              <w:bottom w:val="nil"/>
            </w:tcBorders>
          </w:tcPr>
          <w:p w14:paraId="62AB6F14" w14:textId="77777777" w:rsidR="0021164B" w:rsidRPr="000A7FD1" w:rsidRDefault="0021164B" w:rsidP="00462767"/>
        </w:tc>
      </w:tr>
      <w:tr w:rsidR="0021164B" w:rsidRPr="000A7FD1" w14:paraId="64672A7D" w14:textId="77777777" w:rsidTr="0011240E">
        <w:trPr>
          <w:trHeight w:val="144"/>
        </w:trPr>
        <w:tc>
          <w:tcPr>
            <w:tcW w:w="1800" w:type="dxa"/>
            <w:vMerge/>
          </w:tcPr>
          <w:p w14:paraId="26EBBE95" w14:textId="77777777" w:rsidR="0021164B" w:rsidRPr="000A7FD1" w:rsidRDefault="0021164B" w:rsidP="00462767"/>
        </w:tc>
        <w:tc>
          <w:tcPr>
            <w:tcW w:w="3240" w:type="dxa"/>
            <w:tcBorders>
              <w:top w:val="nil"/>
              <w:bottom w:val="single" w:sz="6" w:space="0" w:color="auto"/>
            </w:tcBorders>
          </w:tcPr>
          <w:p w14:paraId="3F5C10D1" w14:textId="7B09C087" w:rsidR="0021164B" w:rsidRPr="000A7FD1" w:rsidRDefault="0021164B" w:rsidP="00FE4CBF">
            <w:pPr>
              <w:pStyle w:val="TableHanging"/>
              <w:spacing w:before="100" w:beforeAutospacing="1" w:after="100" w:afterAutospacing="1"/>
              <w:ind w:left="490" w:hanging="490"/>
              <w:contextualSpacing/>
              <w:rPr>
                <w:sz w:val="20"/>
                <w:szCs w:val="20"/>
              </w:rPr>
            </w:pPr>
            <w:r w:rsidRPr="000A7FD1">
              <w:rPr>
                <w:sz w:val="20"/>
                <w:szCs w:val="20"/>
              </w:rPr>
              <w:t>9.</w:t>
            </w:r>
            <w:r w:rsidRPr="000A7FD1">
              <w:rPr>
                <w:sz w:val="20"/>
                <w:szCs w:val="20"/>
              </w:rPr>
              <w:tab/>
              <w:t>Amounts and other data</w:t>
            </w:r>
            <w:r w:rsidRPr="000A7FD1">
              <w:rPr>
                <w:rStyle w:val="FootnoteReference"/>
                <w:sz w:val="20"/>
                <w:szCs w:val="20"/>
              </w:rPr>
              <w:footnoteReference w:id="11"/>
            </w:r>
            <w:r w:rsidRPr="000A7FD1">
              <w:rPr>
                <w:sz w:val="20"/>
                <w:szCs w:val="20"/>
              </w:rPr>
              <w:t xml:space="preserve"> relating to recorded transactions or events have not been appropriately recorded. </w:t>
            </w:r>
          </w:p>
          <w:p w14:paraId="3CFB2655" w14:textId="69F38C59" w:rsidR="0021164B" w:rsidRPr="000A7FD1" w:rsidRDefault="0021164B" w:rsidP="00FE4CBF">
            <w:pPr>
              <w:pStyle w:val="TableHanging"/>
              <w:spacing w:before="100" w:beforeAutospacing="1" w:after="100" w:afterAutospacing="1"/>
              <w:ind w:left="490" w:hanging="490"/>
              <w:contextualSpacing/>
              <w:rPr>
                <w:sz w:val="20"/>
                <w:szCs w:val="20"/>
              </w:rPr>
            </w:pPr>
          </w:p>
        </w:tc>
        <w:tc>
          <w:tcPr>
            <w:tcW w:w="4305" w:type="dxa"/>
            <w:tcBorders>
              <w:top w:val="nil"/>
              <w:bottom w:val="single" w:sz="6" w:space="0" w:color="auto"/>
            </w:tcBorders>
          </w:tcPr>
          <w:p w14:paraId="09FA5A4E" w14:textId="6BF16E59" w:rsidR="0021164B" w:rsidRPr="000A7FD1" w:rsidRDefault="0021164B" w:rsidP="00FE4CBF">
            <w:pPr>
              <w:pStyle w:val="TableHanging"/>
              <w:spacing w:before="100" w:beforeAutospacing="1" w:after="100" w:afterAutospacing="1"/>
              <w:ind w:left="490" w:hanging="490"/>
              <w:contextualSpacing/>
              <w:rPr>
                <w:sz w:val="20"/>
                <w:szCs w:val="20"/>
              </w:rPr>
            </w:pPr>
            <w:r w:rsidRPr="000A7FD1">
              <w:rPr>
                <w:sz w:val="20"/>
                <w:szCs w:val="20"/>
              </w:rPr>
              <w:t>9.</w:t>
            </w:r>
            <w:r w:rsidRPr="000A7FD1">
              <w:rPr>
                <w:sz w:val="20"/>
                <w:szCs w:val="20"/>
              </w:rPr>
              <w:tab/>
              <w:t>Amounts and other data relating to recorded transactions and events have been appropriately recorded.</w:t>
            </w:r>
          </w:p>
        </w:tc>
      </w:tr>
      <w:tr w:rsidR="0021164B" w:rsidRPr="000A7FD1" w14:paraId="1DF1A0A1" w14:textId="77777777" w:rsidTr="0011240E">
        <w:trPr>
          <w:trHeight w:val="144"/>
        </w:trPr>
        <w:tc>
          <w:tcPr>
            <w:tcW w:w="1800" w:type="dxa"/>
            <w:vMerge/>
          </w:tcPr>
          <w:p w14:paraId="64D5FA8A" w14:textId="77777777" w:rsidR="0021164B" w:rsidRPr="000A7FD1" w:rsidRDefault="0021164B" w:rsidP="00462767"/>
        </w:tc>
        <w:tc>
          <w:tcPr>
            <w:tcW w:w="7545" w:type="dxa"/>
            <w:gridSpan w:val="2"/>
            <w:tcBorders>
              <w:top w:val="single" w:sz="6" w:space="0" w:color="auto"/>
              <w:bottom w:val="single" w:sz="6" w:space="0" w:color="auto"/>
            </w:tcBorders>
            <w:shd w:val="clear" w:color="auto" w:fill="D9D9D9" w:themeFill="background1" w:themeFillShade="D9"/>
          </w:tcPr>
          <w:p w14:paraId="7FF96701" w14:textId="0B0E4A13" w:rsidR="0021164B" w:rsidRPr="000A7FD1" w:rsidRDefault="0021164B" w:rsidP="00E82333">
            <w:pPr>
              <w:pStyle w:val="Table-Head-Center"/>
              <w:tabs>
                <w:tab w:val="center" w:pos="3088"/>
              </w:tabs>
            </w:pPr>
            <w:r w:rsidRPr="000A7FD1">
              <w:t>Line item/account related</w:t>
            </w:r>
          </w:p>
        </w:tc>
      </w:tr>
      <w:tr w:rsidR="0021164B" w:rsidRPr="000A7FD1" w14:paraId="0B069640" w14:textId="77777777" w:rsidTr="0011240E">
        <w:trPr>
          <w:trHeight w:val="144"/>
        </w:trPr>
        <w:tc>
          <w:tcPr>
            <w:tcW w:w="1800" w:type="dxa"/>
            <w:vMerge/>
          </w:tcPr>
          <w:p w14:paraId="59ABFF5A" w14:textId="77777777" w:rsidR="0021164B" w:rsidRPr="000A7FD1" w:rsidRDefault="0021164B" w:rsidP="00462767"/>
        </w:tc>
        <w:tc>
          <w:tcPr>
            <w:tcW w:w="3240" w:type="dxa"/>
            <w:tcBorders>
              <w:top w:val="single" w:sz="6" w:space="0" w:color="auto"/>
              <w:bottom w:val="nil"/>
            </w:tcBorders>
          </w:tcPr>
          <w:p w14:paraId="367008BF" w14:textId="5363BFC3" w:rsidR="0021164B" w:rsidRPr="000A7FD1" w:rsidRDefault="0021164B" w:rsidP="00882FA9">
            <w:pPr>
              <w:pStyle w:val="Table-Head-Left"/>
            </w:pPr>
            <w:r w:rsidRPr="000A7FD1">
              <w:t>Accuracy, Valuation, and Allocation:</w:t>
            </w:r>
          </w:p>
        </w:tc>
        <w:tc>
          <w:tcPr>
            <w:tcW w:w="4305" w:type="dxa"/>
            <w:tcBorders>
              <w:top w:val="single" w:sz="6" w:space="0" w:color="auto"/>
              <w:bottom w:val="nil"/>
            </w:tcBorders>
          </w:tcPr>
          <w:p w14:paraId="030C5431" w14:textId="77777777" w:rsidR="0021164B" w:rsidRPr="000A7FD1" w:rsidRDefault="0021164B" w:rsidP="00462767"/>
        </w:tc>
      </w:tr>
      <w:tr w:rsidR="0021164B" w:rsidRPr="000A7FD1" w14:paraId="11CBA12A" w14:textId="77777777" w:rsidTr="004112B3">
        <w:trPr>
          <w:trHeight w:val="144"/>
        </w:trPr>
        <w:tc>
          <w:tcPr>
            <w:tcW w:w="1800" w:type="dxa"/>
            <w:vMerge/>
            <w:tcBorders>
              <w:bottom w:val="single" w:sz="4" w:space="0" w:color="auto"/>
            </w:tcBorders>
          </w:tcPr>
          <w:p w14:paraId="16BEBC71" w14:textId="77777777" w:rsidR="0021164B" w:rsidRPr="000A7FD1" w:rsidRDefault="0021164B" w:rsidP="00462767"/>
        </w:tc>
        <w:tc>
          <w:tcPr>
            <w:tcW w:w="3240" w:type="dxa"/>
            <w:tcBorders>
              <w:top w:val="nil"/>
              <w:bottom w:val="single" w:sz="4" w:space="0" w:color="auto"/>
            </w:tcBorders>
          </w:tcPr>
          <w:p w14:paraId="377F1ABE" w14:textId="77777777" w:rsidR="0021164B" w:rsidRPr="000A7FD1" w:rsidRDefault="0021164B" w:rsidP="00FE4CBF">
            <w:pPr>
              <w:pStyle w:val="TableHanging"/>
              <w:spacing w:before="100" w:beforeAutospacing="1" w:after="100" w:afterAutospacing="1"/>
              <w:ind w:left="490" w:hanging="490"/>
              <w:contextualSpacing/>
              <w:rPr>
                <w:sz w:val="20"/>
                <w:szCs w:val="20"/>
              </w:rPr>
            </w:pPr>
            <w:r w:rsidRPr="000A7FD1">
              <w:rPr>
                <w:sz w:val="20"/>
                <w:szCs w:val="20"/>
              </w:rPr>
              <w:t>10.</w:t>
            </w:r>
            <w:r w:rsidRPr="000A7FD1">
              <w:rPr>
                <w:sz w:val="20"/>
                <w:szCs w:val="20"/>
              </w:rPr>
              <w:tab/>
              <w:t xml:space="preserve">Assets, liabilities, net position, budgetary balances, or projections in the sustainability financial statements have been included in the financial statements at inappropriate amounts. Resulting valuation or allocation adjustments have not been appropriately recorded. </w:t>
            </w:r>
          </w:p>
          <w:p w14:paraId="4A035A94" w14:textId="77777777" w:rsidR="0021164B" w:rsidRPr="000A7FD1" w:rsidRDefault="0021164B" w:rsidP="0021164B">
            <w:pPr>
              <w:pStyle w:val="TableHanging"/>
              <w:spacing w:before="100" w:beforeAutospacing="1" w:after="100" w:afterAutospacing="1"/>
              <w:ind w:left="0" w:firstLine="0"/>
              <w:contextualSpacing/>
              <w:rPr>
                <w:sz w:val="20"/>
                <w:szCs w:val="20"/>
              </w:rPr>
            </w:pPr>
          </w:p>
          <w:p w14:paraId="2E500572" w14:textId="719A5288" w:rsidR="0021164B" w:rsidRPr="000A7FD1" w:rsidRDefault="0021164B" w:rsidP="0021164B">
            <w:pPr>
              <w:pStyle w:val="TableHanging"/>
              <w:spacing w:before="100" w:beforeAutospacing="1" w:after="100" w:afterAutospacing="1"/>
              <w:ind w:left="0" w:firstLine="0"/>
              <w:contextualSpacing/>
              <w:rPr>
                <w:sz w:val="20"/>
                <w:szCs w:val="20"/>
              </w:rPr>
            </w:pPr>
          </w:p>
        </w:tc>
        <w:tc>
          <w:tcPr>
            <w:tcW w:w="4305" w:type="dxa"/>
            <w:tcBorders>
              <w:top w:val="nil"/>
              <w:bottom w:val="single" w:sz="4" w:space="0" w:color="auto"/>
            </w:tcBorders>
          </w:tcPr>
          <w:p w14:paraId="4EEDBF2B" w14:textId="20F48666" w:rsidR="0021164B" w:rsidRPr="000A7FD1" w:rsidRDefault="0021164B" w:rsidP="00FE4CBF">
            <w:pPr>
              <w:pStyle w:val="TableHanging"/>
              <w:spacing w:before="100" w:beforeAutospacing="1" w:after="100" w:afterAutospacing="1"/>
              <w:ind w:left="490" w:hanging="490"/>
              <w:contextualSpacing/>
              <w:rPr>
                <w:sz w:val="20"/>
                <w:szCs w:val="20"/>
              </w:rPr>
            </w:pPr>
            <w:r w:rsidRPr="000A7FD1">
              <w:rPr>
                <w:sz w:val="20"/>
                <w:szCs w:val="20"/>
              </w:rPr>
              <w:t>10.</w:t>
            </w:r>
            <w:r w:rsidRPr="000A7FD1">
              <w:rPr>
                <w:sz w:val="20"/>
                <w:szCs w:val="20"/>
              </w:rPr>
              <w:tab/>
              <w:t xml:space="preserve">Assets, liabilities, net position, budgetary balances, and projections in the sustainability financial statements have been included in the financial statements at appropriate amounts, and any resulting valuation or allocation adjustments have been appropriately recorded. </w:t>
            </w:r>
          </w:p>
        </w:tc>
      </w:tr>
      <w:tr w:rsidR="00460EBB" w:rsidRPr="000A7FD1" w14:paraId="5A63BAEF" w14:textId="77777777" w:rsidTr="004112B3">
        <w:trPr>
          <w:trHeight w:val="144"/>
        </w:trPr>
        <w:tc>
          <w:tcPr>
            <w:tcW w:w="1800" w:type="dxa"/>
            <w:tcBorders>
              <w:top w:val="single" w:sz="4" w:space="0" w:color="auto"/>
              <w:bottom w:val="nil"/>
            </w:tcBorders>
          </w:tcPr>
          <w:p w14:paraId="4BF27D75" w14:textId="77777777" w:rsidR="00460EBB" w:rsidRPr="000A7FD1" w:rsidRDefault="00460EBB" w:rsidP="00462767"/>
        </w:tc>
        <w:tc>
          <w:tcPr>
            <w:tcW w:w="3240" w:type="dxa"/>
            <w:tcBorders>
              <w:top w:val="single" w:sz="4" w:space="0" w:color="auto"/>
              <w:bottom w:val="nil"/>
            </w:tcBorders>
          </w:tcPr>
          <w:p w14:paraId="30C3C9FF" w14:textId="77777777" w:rsidR="00460EBB" w:rsidRPr="000A7FD1" w:rsidRDefault="00460EBB" w:rsidP="00462767">
            <w:pPr>
              <w:pStyle w:val="Table-Head-Left"/>
            </w:pPr>
            <w:r w:rsidRPr="000A7FD1">
              <w:t>Measurement:</w:t>
            </w:r>
          </w:p>
        </w:tc>
        <w:tc>
          <w:tcPr>
            <w:tcW w:w="4305" w:type="dxa"/>
            <w:tcBorders>
              <w:top w:val="single" w:sz="4" w:space="0" w:color="auto"/>
              <w:bottom w:val="nil"/>
            </w:tcBorders>
          </w:tcPr>
          <w:p w14:paraId="622902F7" w14:textId="77777777" w:rsidR="00460EBB" w:rsidRPr="000A7FD1" w:rsidRDefault="00460EBB" w:rsidP="00614CD7">
            <w:pPr>
              <w:pStyle w:val="TableHanging"/>
            </w:pPr>
          </w:p>
        </w:tc>
      </w:tr>
      <w:tr w:rsidR="00460EBB" w:rsidRPr="000A7FD1" w14:paraId="216BE110" w14:textId="77777777" w:rsidTr="00E82333">
        <w:trPr>
          <w:trHeight w:val="144"/>
        </w:trPr>
        <w:tc>
          <w:tcPr>
            <w:tcW w:w="1800" w:type="dxa"/>
            <w:tcBorders>
              <w:top w:val="nil"/>
              <w:bottom w:val="single" w:sz="6" w:space="0" w:color="auto"/>
            </w:tcBorders>
          </w:tcPr>
          <w:p w14:paraId="3F0750AB" w14:textId="77777777" w:rsidR="00460EBB" w:rsidRPr="000A7FD1" w:rsidRDefault="00460EBB" w:rsidP="00462767"/>
        </w:tc>
        <w:tc>
          <w:tcPr>
            <w:tcW w:w="3240" w:type="dxa"/>
            <w:tcBorders>
              <w:top w:val="nil"/>
              <w:bottom w:val="single" w:sz="6" w:space="0" w:color="auto"/>
            </w:tcBorders>
          </w:tcPr>
          <w:p w14:paraId="24BCA1C8" w14:textId="3E3C6A2F" w:rsidR="00460EBB" w:rsidRPr="000A7FD1" w:rsidRDefault="00460EBB" w:rsidP="00FE4CBF">
            <w:pPr>
              <w:pStyle w:val="TableHanging"/>
              <w:spacing w:before="100" w:beforeAutospacing="1" w:after="100" w:afterAutospacing="1"/>
              <w:ind w:left="490" w:hanging="490"/>
              <w:contextualSpacing/>
              <w:rPr>
                <w:sz w:val="20"/>
                <w:szCs w:val="20"/>
              </w:rPr>
            </w:pPr>
            <w:r w:rsidRPr="000A7FD1">
              <w:rPr>
                <w:sz w:val="20"/>
                <w:szCs w:val="20"/>
              </w:rPr>
              <w:t>11.</w:t>
            </w:r>
            <w:r w:rsidRPr="000A7FD1">
              <w:rPr>
                <w:sz w:val="20"/>
                <w:szCs w:val="20"/>
              </w:rPr>
              <w:tab/>
              <w:t>Revenues</w:t>
            </w:r>
            <w:r w:rsidR="00C61BBC" w:rsidRPr="000A7FD1">
              <w:rPr>
                <w:sz w:val="20"/>
                <w:szCs w:val="20"/>
              </w:rPr>
              <w:t>,</w:t>
            </w:r>
            <w:r w:rsidRPr="000A7FD1">
              <w:rPr>
                <w:sz w:val="20"/>
                <w:szCs w:val="20"/>
              </w:rPr>
              <w:t xml:space="preserve"> expenses</w:t>
            </w:r>
            <w:r w:rsidR="00C61BBC" w:rsidRPr="000A7FD1">
              <w:rPr>
                <w:sz w:val="20"/>
                <w:szCs w:val="20"/>
              </w:rPr>
              <w:t>, and budgetary activity</w:t>
            </w:r>
            <w:r w:rsidRPr="000A7FD1">
              <w:rPr>
                <w:sz w:val="20"/>
                <w:szCs w:val="20"/>
              </w:rPr>
              <w:t xml:space="preserve"> included in the financial statements are measured improperly.</w:t>
            </w:r>
          </w:p>
          <w:p w14:paraId="0A0233AF" w14:textId="77777777" w:rsidR="00FE4CBF" w:rsidRPr="000A7FD1" w:rsidRDefault="00FE4CBF" w:rsidP="00FE4CBF">
            <w:pPr>
              <w:pStyle w:val="TableHanging"/>
              <w:spacing w:before="100" w:beforeAutospacing="1" w:after="100" w:afterAutospacing="1"/>
              <w:ind w:left="490" w:hanging="490"/>
              <w:contextualSpacing/>
              <w:rPr>
                <w:sz w:val="20"/>
                <w:szCs w:val="20"/>
              </w:rPr>
            </w:pPr>
          </w:p>
          <w:p w14:paraId="010408DE" w14:textId="77777777" w:rsidR="00FE4CBF" w:rsidRPr="000A7FD1" w:rsidRDefault="00FE4CBF" w:rsidP="00FE4CBF">
            <w:pPr>
              <w:pStyle w:val="TableHanging"/>
              <w:spacing w:before="100" w:beforeAutospacing="1" w:after="100" w:afterAutospacing="1"/>
              <w:ind w:left="490" w:hanging="490"/>
              <w:contextualSpacing/>
              <w:rPr>
                <w:sz w:val="20"/>
                <w:szCs w:val="20"/>
              </w:rPr>
            </w:pPr>
          </w:p>
          <w:p w14:paraId="16AE94E7" w14:textId="5E6FC5CC" w:rsidR="00FE4CBF" w:rsidRPr="000A7FD1" w:rsidRDefault="00FE4CBF" w:rsidP="00FE4CBF">
            <w:pPr>
              <w:pStyle w:val="TableHanging"/>
              <w:spacing w:before="100" w:beforeAutospacing="1" w:after="100" w:afterAutospacing="1"/>
              <w:ind w:left="490" w:hanging="490"/>
              <w:contextualSpacing/>
              <w:rPr>
                <w:sz w:val="20"/>
                <w:szCs w:val="20"/>
              </w:rPr>
            </w:pPr>
          </w:p>
        </w:tc>
        <w:tc>
          <w:tcPr>
            <w:tcW w:w="4305" w:type="dxa"/>
            <w:tcBorders>
              <w:top w:val="nil"/>
              <w:bottom w:val="single" w:sz="6" w:space="0" w:color="auto"/>
            </w:tcBorders>
          </w:tcPr>
          <w:p w14:paraId="42932128" w14:textId="2EC25827" w:rsidR="00460EBB" w:rsidRPr="000A7FD1" w:rsidRDefault="00460EBB" w:rsidP="00FE4CBF">
            <w:pPr>
              <w:pStyle w:val="TableHanging"/>
              <w:spacing w:before="100" w:beforeAutospacing="1" w:after="100" w:afterAutospacing="1"/>
              <w:ind w:left="490" w:hanging="490"/>
              <w:contextualSpacing/>
              <w:rPr>
                <w:sz w:val="20"/>
                <w:szCs w:val="20"/>
              </w:rPr>
            </w:pPr>
            <w:r w:rsidRPr="000A7FD1">
              <w:rPr>
                <w:sz w:val="20"/>
                <w:szCs w:val="20"/>
              </w:rPr>
              <w:t>11.</w:t>
            </w:r>
            <w:r w:rsidRPr="000A7FD1">
              <w:rPr>
                <w:sz w:val="20"/>
                <w:szCs w:val="20"/>
              </w:rPr>
              <w:tab/>
              <w:t>Revenues</w:t>
            </w:r>
            <w:r w:rsidR="00C61BBC" w:rsidRPr="000A7FD1">
              <w:rPr>
                <w:sz w:val="20"/>
                <w:szCs w:val="20"/>
              </w:rPr>
              <w:t xml:space="preserve">, </w:t>
            </w:r>
            <w:r w:rsidRPr="000A7FD1">
              <w:rPr>
                <w:sz w:val="20"/>
                <w:szCs w:val="20"/>
              </w:rPr>
              <w:t>expenses</w:t>
            </w:r>
            <w:r w:rsidR="00C61BBC" w:rsidRPr="000A7FD1">
              <w:rPr>
                <w:sz w:val="20"/>
                <w:szCs w:val="20"/>
              </w:rPr>
              <w:t>, and budgetary activity</w:t>
            </w:r>
            <w:r w:rsidRPr="000A7FD1">
              <w:rPr>
                <w:sz w:val="20"/>
                <w:szCs w:val="20"/>
              </w:rPr>
              <w:t xml:space="preserve"> included in the financial statements are measured properly.</w:t>
            </w:r>
          </w:p>
        </w:tc>
      </w:tr>
      <w:tr w:rsidR="00460EBB" w:rsidRPr="000A7FD1" w14:paraId="0FC87E17" w14:textId="77777777" w:rsidTr="00E82333">
        <w:trPr>
          <w:trHeight w:val="144"/>
        </w:trPr>
        <w:tc>
          <w:tcPr>
            <w:tcW w:w="1800" w:type="dxa"/>
            <w:vMerge w:val="restart"/>
            <w:tcBorders>
              <w:top w:val="single" w:sz="6" w:space="0" w:color="auto"/>
            </w:tcBorders>
          </w:tcPr>
          <w:p w14:paraId="42A5DB02" w14:textId="77777777" w:rsidR="00460EBB" w:rsidRPr="000A7FD1" w:rsidRDefault="00460EBB" w:rsidP="00614CD7">
            <w:pPr>
              <w:pStyle w:val="Table-Head-Left"/>
            </w:pPr>
            <w:r w:rsidRPr="000A7FD1">
              <w:t>Rights and obligations</w:t>
            </w:r>
          </w:p>
        </w:tc>
        <w:tc>
          <w:tcPr>
            <w:tcW w:w="7545" w:type="dxa"/>
            <w:gridSpan w:val="2"/>
            <w:tcBorders>
              <w:top w:val="single" w:sz="6" w:space="0" w:color="auto"/>
              <w:bottom w:val="single" w:sz="6" w:space="0" w:color="auto"/>
            </w:tcBorders>
            <w:shd w:val="clear" w:color="auto" w:fill="D9D9D9" w:themeFill="background1" w:themeFillShade="D9"/>
          </w:tcPr>
          <w:p w14:paraId="6FCFBE68" w14:textId="10D8A025" w:rsidR="00460EBB" w:rsidRPr="000A7FD1" w:rsidRDefault="00460EBB" w:rsidP="00E82333">
            <w:pPr>
              <w:pStyle w:val="Table-Head-Center"/>
              <w:tabs>
                <w:tab w:val="center" w:pos="3088"/>
              </w:tabs>
            </w:pPr>
            <w:r w:rsidRPr="000A7FD1">
              <w:t>Line item/account</w:t>
            </w:r>
            <w:r w:rsidR="00247EA9" w:rsidRPr="000A7FD1">
              <w:t xml:space="preserve"> </w:t>
            </w:r>
            <w:r w:rsidRPr="000A7FD1">
              <w:t>related</w:t>
            </w:r>
          </w:p>
        </w:tc>
      </w:tr>
      <w:tr w:rsidR="00460EBB" w:rsidRPr="000A7FD1" w14:paraId="02AE5F35" w14:textId="77777777" w:rsidTr="00E82333">
        <w:trPr>
          <w:trHeight w:val="144"/>
        </w:trPr>
        <w:tc>
          <w:tcPr>
            <w:tcW w:w="1800" w:type="dxa"/>
            <w:vMerge/>
            <w:tcBorders>
              <w:bottom w:val="nil"/>
            </w:tcBorders>
          </w:tcPr>
          <w:p w14:paraId="1999F7D3" w14:textId="77777777" w:rsidR="00460EBB" w:rsidRPr="000A7FD1" w:rsidRDefault="00460EBB" w:rsidP="00462767"/>
        </w:tc>
        <w:tc>
          <w:tcPr>
            <w:tcW w:w="3240" w:type="dxa"/>
            <w:tcBorders>
              <w:top w:val="single" w:sz="6" w:space="0" w:color="auto"/>
              <w:bottom w:val="nil"/>
            </w:tcBorders>
          </w:tcPr>
          <w:p w14:paraId="42C5075C" w14:textId="77777777" w:rsidR="00460EBB" w:rsidRPr="000A7FD1" w:rsidRDefault="00460EBB" w:rsidP="00614CD7">
            <w:pPr>
              <w:pStyle w:val="Table-Head-Left"/>
            </w:pPr>
            <w:r w:rsidRPr="000A7FD1">
              <w:t>Ownership:</w:t>
            </w:r>
          </w:p>
        </w:tc>
        <w:tc>
          <w:tcPr>
            <w:tcW w:w="4305" w:type="dxa"/>
            <w:tcBorders>
              <w:top w:val="single" w:sz="6" w:space="0" w:color="auto"/>
              <w:bottom w:val="nil"/>
            </w:tcBorders>
          </w:tcPr>
          <w:p w14:paraId="1BB8269F" w14:textId="77777777" w:rsidR="00460EBB" w:rsidRPr="000A7FD1" w:rsidRDefault="00460EBB" w:rsidP="00462767"/>
        </w:tc>
      </w:tr>
      <w:tr w:rsidR="00227740" w:rsidRPr="000A7FD1" w14:paraId="6818ACBE" w14:textId="77777777" w:rsidTr="00E82333">
        <w:trPr>
          <w:trHeight w:val="144"/>
        </w:trPr>
        <w:tc>
          <w:tcPr>
            <w:tcW w:w="1800" w:type="dxa"/>
            <w:vMerge w:val="restart"/>
            <w:tcBorders>
              <w:top w:val="nil"/>
            </w:tcBorders>
          </w:tcPr>
          <w:p w14:paraId="768725A1" w14:textId="70D48DDB" w:rsidR="00227740" w:rsidRPr="000A7FD1" w:rsidRDefault="00227740" w:rsidP="00FD3DA6"/>
        </w:tc>
        <w:tc>
          <w:tcPr>
            <w:tcW w:w="3240" w:type="dxa"/>
            <w:tcBorders>
              <w:top w:val="nil"/>
              <w:bottom w:val="nil"/>
            </w:tcBorders>
          </w:tcPr>
          <w:p w14:paraId="39BB863B" w14:textId="77777777" w:rsidR="00227740" w:rsidRPr="000A7FD1" w:rsidRDefault="00227740" w:rsidP="00FE4CBF">
            <w:pPr>
              <w:pStyle w:val="TableHanging"/>
              <w:spacing w:before="100" w:beforeAutospacing="1" w:after="100" w:afterAutospacing="1"/>
              <w:contextualSpacing/>
              <w:rPr>
                <w:sz w:val="20"/>
                <w:szCs w:val="20"/>
              </w:rPr>
            </w:pPr>
            <w:r w:rsidRPr="000A7FD1">
              <w:rPr>
                <w:sz w:val="20"/>
                <w:szCs w:val="20"/>
              </w:rPr>
              <w:t>12.</w:t>
            </w:r>
            <w:r w:rsidRPr="000A7FD1">
              <w:rPr>
                <w:sz w:val="20"/>
                <w:szCs w:val="20"/>
              </w:rPr>
              <w:tab/>
              <w:t>Recorded assets are owned by others because of sale, consignment, or other contractual arrangements.</w:t>
            </w:r>
          </w:p>
        </w:tc>
        <w:tc>
          <w:tcPr>
            <w:tcW w:w="4305" w:type="dxa"/>
            <w:tcBorders>
              <w:top w:val="nil"/>
              <w:bottom w:val="nil"/>
            </w:tcBorders>
          </w:tcPr>
          <w:p w14:paraId="6A194FD6" w14:textId="77777777" w:rsidR="00227740" w:rsidRPr="000A7FD1" w:rsidRDefault="00227740" w:rsidP="00FE4CBF">
            <w:pPr>
              <w:pStyle w:val="TableHanging"/>
              <w:spacing w:before="100" w:beforeAutospacing="1" w:after="100" w:afterAutospacing="1"/>
              <w:contextualSpacing/>
              <w:rPr>
                <w:sz w:val="20"/>
                <w:szCs w:val="20"/>
              </w:rPr>
            </w:pPr>
            <w:r w:rsidRPr="000A7FD1">
              <w:rPr>
                <w:sz w:val="20"/>
                <w:szCs w:val="20"/>
              </w:rPr>
              <w:t>12.</w:t>
            </w:r>
            <w:r w:rsidRPr="000A7FD1">
              <w:rPr>
                <w:sz w:val="20"/>
                <w:szCs w:val="20"/>
              </w:rPr>
              <w:tab/>
              <w:t>The entity owns (i.e., has valid title to) recorded assets.</w:t>
            </w:r>
          </w:p>
        </w:tc>
      </w:tr>
      <w:tr w:rsidR="00227740" w:rsidRPr="000A7FD1" w14:paraId="0EFAB4F8" w14:textId="77777777" w:rsidTr="00E82333">
        <w:trPr>
          <w:trHeight w:val="144"/>
        </w:trPr>
        <w:tc>
          <w:tcPr>
            <w:tcW w:w="1800" w:type="dxa"/>
            <w:vMerge/>
          </w:tcPr>
          <w:p w14:paraId="7E1ABA14" w14:textId="77777777" w:rsidR="00227740" w:rsidRPr="000A7FD1" w:rsidRDefault="00227740" w:rsidP="00462767"/>
        </w:tc>
        <w:tc>
          <w:tcPr>
            <w:tcW w:w="3240" w:type="dxa"/>
            <w:tcBorders>
              <w:top w:val="nil"/>
              <w:bottom w:val="nil"/>
            </w:tcBorders>
          </w:tcPr>
          <w:p w14:paraId="62619643" w14:textId="77777777" w:rsidR="00227740" w:rsidRPr="000A7FD1" w:rsidRDefault="00227740" w:rsidP="00462767">
            <w:pPr>
              <w:pStyle w:val="Table-Head-Left"/>
            </w:pPr>
            <w:r w:rsidRPr="000A7FD1">
              <w:t>Rights:</w:t>
            </w:r>
          </w:p>
        </w:tc>
        <w:tc>
          <w:tcPr>
            <w:tcW w:w="4305" w:type="dxa"/>
            <w:tcBorders>
              <w:top w:val="nil"/>
              <w:bottom w:val="nil"/>
            </w:tcBorders>
          </w:tcPr>
          <w:p w14:paraId="54CE7210" w14:textId="77777777" w:rsidR="00227740" w:rsidRPr="000A7FD1" w:rsidRDefault="00227740" w:rsidP="00614CD7">
            <w:pPr>
              <w:pStyle w:val="TableHanging"/>
            </w:pPr>
          </w:p>
        </w:tc>
      </w:tr>
      <w:tr w:rsidR="00227740" w:rsidRPr="000A7FD1" w14:paraId="4E7A09C1" w14:textId="77777777" w:rsidTr="00E82333">
        <w:trPr>
          <w:trHeight w:val="144"/>
        </w:trPr>
        <w:tc>
          <w:tcPr>
            <w:tcW w:w="1800" w:type="dxa"/>
            <w:vMerge/>
            <w:tcBorders>
              <w:bottom w:val="nil"/>
            </w:tcBorders>
          </w:tcPr>
          <w:p w14:paraId="42FD49D0" w14:textId="77777777" w:rsidR="00227740" w:rsidRPr="000A7FD1" w:rsidRDefault="00227740" w:rsidP="00462767"/>
        </w:tc>
        <w:tc>
          <w:tcPr>
            <w:tcW w:w="3240" w:type="dxa"/>
            <w:tcBorders>
              <w:top w:val="nil"/>
              <w:bottom w:val="nil"/>
            </w:tcBorders>
          </w:tcPr>
          <w:p w14:paraId="0A05817D" w14:textId="7CC45365" w:rsidR="00227740" w:rsidRPr="000A7FD1" w:rsidRDefault="00227740" w:rsidP="00FE4CBF">
            <w:pPr>
              <w:pStyle w:val="TableHanging"/>
              <w:spacing w:before="100" w:beforeAutospacing="1" w:after="100" w:afterAutospacing="1"/>
              <w:contextualSpacing/>
              <w:rPr>
                <w:sz w:val="20"/>
                <w:szCs w:val="20"/>
              </w:rPr>
            </w:pPr>
            <w:r w:rsidRPr="000A7FD1">
              <w:rPr>
                <w:sz w:val="20"/>
                <w:szCs w:val="20"/>
              </w:rPr>
              <w:t>13.</w:t>
            </w:r>
            <w:r w:rsidRPr="000A7FD1">
              <w:rPr>
                <w:sz w:val="20"/>
                <w:szCs w:val="20"/>
              </w:rPr>
              <w:tab/>
              <w:t xml:space="preserve">The entity does not hold or control </w:t>
            </w:r>
            <w:r w:rsidR="001267D8" w:rsidRPr="000A7FD1">
              <w:rPr>
                <w:sz w:val="20"/>
                <w:szCs w:val="20"/>
              </w:rPr>
              <w:t xml:space="preserve">the </w:t>
            </w:r>
            <w:r w:rsidRPr="000A7FD1">
              <w:rPr>
                <w:sz w:val="20"/>
                <w:szCs w:val="20"/>
              </w:rPr>
              <w:t>rights to recorded assets or budgetary resources because of liens, pledges, or other restrictions.</w:t>
            </w:r>
          </w:p>
        </w:tc>
        <w:tc>
          <w:tcPr>
            <w:tcW w:w="4305" w:type="dxa"/>
            <w:tcBorders>
              <w:top w:val="nil"/>
              <w:bottom w:val="nil"/>
            </w:tcBorders>
          </w:tcPr>
          <w:p w14:paraId="1045527C" w14:textId="12C03A3D" w:rsidR="00227740" w:rsidRPr="000A7FD1" w:rsidRDefault="00227740" w:rsidP="00FE4CBF">
            <w:pPr>
              <w:pStyle w:val="TableHanging"/>
              <w:spacing w:before="100" w:beforeAutospacing="1" w:after="100" w:afterAutospacing="1"/>
              <w:contextualSpacing/>
              <w:rPr>
                <w:sz w:val="20"/>
                <w:szCs w:val="20"/>
              </w:rPr>
            </w:pPr>
            <w:r w:rsidRPr="000A7FD1">
              <w:rPr>
                <w:sz w:val="20"/>
                <w:szCs w:val="20"/>
              </w:rPr>
              <w:t>13.</w:t>
            </w:r>
            <w:r w:rsidRPr="000A7FD1">
              <w:rPr>
                <w:sz w:val="20"/>
                <w:szCs w:val="20"/>
              </w:rPr>
              <w:tab/>
              <w:t>The entity holds or controls the rights to recorded assets and budgetary resources at a given date.</w:t>
            </w:r>
          </w:p>
        </w:tc>
      </w:tr>
      <w:tr w:rsidR="00460EBB" w:rsidRPr="000A7FD1" w14:paraId="6BAEE9EC" w14:textId="77777777" w:rsidTr="00E82333">
        <w:trPr>
          <w:trHeight w:val="144"/>
        </w:trPr>
        <w:tc>
          <w:tcPr>
            <w:tcW w:w="1800" w:type="dxa"/>
            <w:tcBorders>
              <w:top w:val="nil"/>
              <w:bottom w:val="nil"/>
            </w:tcBorders>
          </w:tcPr>
          <w:p w14:paraId="3AD51F7C" w14:textId="77777777" w:rsidR="00460EBB" w:rsidRPr="000A7FD1" w:rsidRDefault="00460EBB" w:rsidP="00462767"/>
        </w:tc>
        <w:tc>
          <w:tcPr>
            <w:tcW w:w="3240" w:type="dxa"/>
            <w:tcBorders>
              <w:top w:val="nil"/>
              <w:bottom w:val="nil"/>
            </w:tcBorders>
          </w:tcPr>
          <w:p w14:paraId="1D25A0E1" w14:textId="77777777" w:rsidR="00460EBB" w:rsidRPr="000A7FD1" w:rsidRDefault="00460EBB" w:rsidP="00614CD7">
            <w:pPr>
              <w:pStyle w:val="Table-Head-Left"/>
            </w:pPr>
            <w:r w:rsidRPr="000A7FD1">
              <w:t>Obligations:</w:t>
            </w:r>
          </w:p>
        </w:tc>
        <w:tc>
          <w:tcPr>
            <w:tcW w:w="4305" w:type="dxa"/>
            <w:tcBorders>
              <w:top w:val="nil"/>
              <w:bottom w:val="nil"/>
            </w:tcBorders>
          </w:tcPr>
          <w:p w14:paraId="4799A07E" w14:textId="77777777" w:rsidR="00460EBB" w:rsidRPr="000A7FD1" w:rsidRDefault="00460EBB" w:rsidP="00462767"/>
        </w:tc>
      </w:tr>
      <w:tr w:rsidR="00460EBB" w:rsidRPr="000A7FD1" w14:paraId="3ED8DE3E" w14:textId="77777777" w:rsidTr="004112B3">
        <w:trPr>
          <w:trHeight w:val="144"/>
        </w:trPr>
        <w:tc>
          <w:tcPr>
            <w:tcW w:w="1800" w:type="dxa"/>
            <w:tcBorders>
              <w:top w:val="nil"/>
              <w:bottom w:val="single" w:sz="4" w:space="0" w:color="auto"/>
            </w:tcBorders>
          </w:tcPr>
          <w:p w14:paraId="3050EF02" w14:textId="77777777" w:rsidR="00460EBB" w:rsidRPr="000A7FD1" w:rsidRDefault="00460EBB" w:rsidP="00462767"/>
        </w:tc>
        <w:tc>
          <w:tcPr>
            <w:tcW w:w="3240" w:type="dxa"/>
            <w:tcBorders>
              <w:top w:val="nil"/>
              <w:bottom w:val="single" w:sz="4" w:space="0" w:color="auto"/>
            </w:tcBorders>
          </w:tcPr>
          <w:p w14:paraId="525CF59B" w14:textId="1936C370" w:rsidR="00E119D9" w:rsidRPr="000A7FD1" w:rsidRDefault="00460EBB" w:rsidP="00FE4CBF">
            <w:pPr>
              <w:pStyle w:val="TableHanging"/>
              <w:spacing w:before="100" w:beforeAutospacing="1" w:after="100" w:afterAutospacing="1"/>
              <w:contextualSpacing/>
              <w:rPr>
                <w:sz w:val="20"/>
                <w:szCs w:val="20"/>
              </w:rPr>
            </w:pPr>
            <w:r w:rsidRPr="000A7FD1">
              <w:rPr>
                <w:sz w:val="20"/>
                <w:szCs w:val="20"/>
              </w:rPr>
              <w:t>14.</w:t>
            </w:r>
            <w:r w:rsidRPr="000A7FD1">
              <w:rPr>
                <w:sz w:val="20"/>
                <w:szCs w:val="20"/>
              </w:rPr>
              <w:tab/>
              <w:t>The entity does not have an obligation for recorded liabilities at a given date.</w:t>
            </w:r>
          </w:p>
          <w:p w14:paraId="2BEDE556" w14:textId="0F3DF34A" w:rsidR="00E0374F" w:rsidRPr="000A7FD1" w:rsidRDefault="00AB7F1F" w:rsidP="00AB7F1F">
            <w:pPr>
              <w:pStyle w:val="TableHanging"/>
              <w:spacing w:before="100" w:beforeAutospacing="1" w:after="100" w:afterAutospacing="1"/>
              <w:ind w:hanging="53"/>
              <w:contextualSpacing/>
              <w:rPr>
                <w:sz w:val="20"/>
                <w:szCs w:val="20"/>
              </w:rPr>
            </w:pPr>
            <w:r w:rsidRPr="000A7FD1">
              <w:rPr>
                <w:sz w:val="20"/>
                <w:szCs w:val="20"/>
              </w:rPr>
              <w:t xml:space="preserve"> </w:t>
            </w:r>
            <w:r w:rsidR="00E0374F" w:rsidRPr="000A7FD1">
              <w:rPr>
                <w:sz w:val="20"/>
                <w:szCs w:val="20"/>
              </w:rPr>
              <w:t>Budgetary obligations do not pertain to the entity.</w:t>
            </w:r>
          </w:p>
        </w:tc>
        <w:tc>
          <w:tcPr>
            <w:tcW w:w="4305" w:type="dxa"/>
            <w:tcBorders>
              <w:top w:val="nil"/>
              <w:bottom w:val="single" w:sz="4" w:space="0" w:color="auto"/>
            </w:tcBorders>
          </w:tcPr>
          <w:p w14:paraId="549B30ED" w14:textId="29EAD0C0" w:rsidR="00E119D9" w:rsidRPr="000A7FD1" w:rsidRDefault="00460EBB" w:rsidP="00FE4CBF">
            <w:pPr>
              <w:pStyle w:val="TableHanging"/>
              <w:spacing w:before="100" w:beforeAutospacing="1" w:after="100" w:afterAutospacing="1"/>
              <w:ind w:left="490" w:hanging="490"/>
              <w:contextualSpacing/>
              <w:rPr>
                <w:sz w:val="20"/>
                <w:szCs w:val="20"/>
              </w:rPr>
            </w:pPr>
            <w:r w:rsidRPr="000A7FD1">
              <w:rPr>
                <w:sz w:val="20"/>
                <w:szCs w:val="20"/>
              </w:rPr>
              <w:t>14</w:t>
            </w:r>
            <w:r w:rsidR="00AB7F1F" w:rsidRPr="000A7FD1">
              <w:rPr>
                <w:sz w:val="20"/>
                <w:szCs w:val="20"/>
              </w:rPr>
              <w:t>a</w:t>
            </w:r>
            <w:r w:rsidRPr="000A7FD1">
              <w:rPr>
                <w:sz w:val="20"/>
                <w:szCs w:val="20"/>
              </w:rPr>
              <w:t>.</w:t>
            </w:r>
            <w:r w:rsidRPr="000A7FD1">
              <w:rPr>
                <w:sz w:val="20"/>
                <w:szCs w:val="20"/>
              </w:rPr>
              <w:tab/>
              <w:t>Liabilities are the entity’s obligations</w:t>
            </w:r>
            <w:r w:rsidR="00E0374F" w:rsidRPr="000A7FD1">
              <w:rPr>
                <w:sz w:val="20"/>
                <w:szCs w:val="20"/>
              </w:rPr>
              <w:t xml:space="preserve"> </w:t>
            </w:r>
            <w:r w:rsidRPr="000A7FD1">
              <w:rPr>
                <w:sz w:val="20"/>
                <w:szCs w:val="20"/>
              </w:rPr>
              <w:t>at a given date.</w:t>
            </w:r>
            <w:r w:rsidR="00E0374F" w:rsidRPr="000A7FD1">
              <w:rPr>
                <w:sz w:val="20"/>
                <w:szCs w:val="20"/>
              </w:rPr>
              <w:t xml:space="preserve"> </w:t>
            </w:r>
          </w:p>
          <w:p w14:paraId="3E3344DD" w14:textId="50CD6742" w:rsidR="00460EBB" w:rsidRPr="000A7FD1" w:rsidRDefault="00E0374F" w:rsidP="00FE4CBF">
            <w:pPr>
              <w:pStyle w:val="TableHanging"/>
              <w:spacing w:before="100" w:beforeAutospacing="1" w:after="100" w:afterAutospacing="1"/>
              <w:ind w:left="0" w:firstLine="0"/>
              <w:contextualSpacing/>
              <w:rPr>
                <w:sz w:val="20"/>
                <w:szCs w:val="20"/>
              </w:rPr>
            </w:pPr>
            <w:r w:rsidRPr="000A7FD1">
              <w:rPr>
                <w:sz w:val="20"/>
                <w:szCs w:val="20"/>
              </w:rPr>
              <w:t xml:space="preserve">           </w:t>
            </w:r>
          </w:p>
          <w:p w14:paraId="71A0E720" w14:textId="7386E30A" w:rsidR="00E0374F" w:rsidRPr="000A7FD1" w:rsidRDefault="00AB7F1F" w:rsidP="00FE4CBF">
            <w:pPr>
              <w:pStyle w:val="TableHanging"/>
              <w:spacing w:before="100" w:beforeAutospacing="1" w:after="100" w:afterAutospacing="1"/>
              <w:ind w:left="490" w:hanging="490"/>
              <w:contextualSpacing/>
              <w:rPr>
                <w:sz w:val="20"/>
                <w:szCs w:val="20"/>
              </w:rPr>
            </w:pPr>
            <w:r w:rsidRPr="000A7FD1">
              <w:rPr>
                <w:sz w:val="20"/>
                <w:szCs w:val="20"/>
              </w:rPr>
              <w:t>14b</w:t>
            </w:r>
            <w:r w:rsidR="00E0374F" w:rsidRPr="000A7FD1">
              <w:rPr>
                <w:sz w:val="20"/>
                <w:szCs w:val="20"/>
              </w:rPr>
              <w:t>.</w:t>
            </w:r>
            <w:r w:rsidR="00E0374F" w:rsidRPr="000A7FD1">
              <w:rPr>
                <w:sz w:val="20"/>
                <w:szCs w:val="20"/>
              </w:rPr>
              <w:tab/>
              <w:t>Budgetary obligations pertain to the entity.</w:t>
            </w:r>
          </w:p>
          <w:p w14:paraId="6083E444" w14:textId="77BEE695" w:rsidR="00E0374F" w:rsidRPr="000A7FD1" w:rsidRDefault="00E0374F" w:rsidP="00FE4CBF">
            <w:pPr>
              <w:pStyle w:val="TableHanging"/>
              <w:spacing w:before="100" w:beforeAutospacing="1" w:after="100" w:afterAutospacing="1"/>
              <w:ind w:left="0" w:firstLine="0"/>
              <w:contextualSpacing/>
              <w:rPr>
                <w:sz w:val="20"/>
                <w:szCs w:val="20"/>
              </w:rPr>
            </w:pPr>
          </w:p>
        </w:tc>
      </w:tr>
      <w:tr w:rsidR="0043734D" w:rsidRPr="000A7FD1" w14:paraId="61A5EB81" w14:textId="77777777" w:rsidTr="0021164B">
        <w:trPr>
          <w:trHeight w:val="144"/>
        </w:trPr>
        <w:tc>
          <w:tcPr>
            <w:tcW w:w="1800" w:type="dxa"/>
            <w:vMerge w:val="restart"/>
            <w:tcBorders>
              <w:top w:val="single" w:sz="4" w:space="0" w:color="auto"/>
              <w:bottom w:val="double" w:sz="4" w:space="0" w:color="auto"/>
            </w:tcBorders>
          </w:tcPr>
          <w:p w14:paraId="25F0BD2F" w14:textId="468EA8F1" w:rsidR="0043734D" w:rsidRPr="000A7FD1" w:rsidRDefault="00227740" w:rsidP="0043734D">
            <w:pPr>
              <w:rPr>
                <w:b/>
              </w:rPr>
            </w:pPr>
            <w:r w:rsidRPr="000A7FD1">
              <w:rPr>
                <w:b/>
              </w:rPr>
              <w:br w:type="page"/>
            </w:r>
            <w:r w:rsidR="0043734D" w:rsidRPr="000A7FD1">
              <w:rPr>
                <w:b/>
              </w:rPr>
              <w:t>Presentation and disclosure</w:t>
            </w:r>
          </w:p>
          <w:p w14:paraId="1F9685D3" w14:textId="77777777" w:rsidR="0043734D" w:rsidRPr="000A7FD1" w:rsidRDefault="0043734D" w:rsidP="00462767"/>
          <w:p w14:paraId="6C98A9A5" w14:textId="77777777" w:rsidR="0043734D" w:rsidRPr="000A7FD1" w:rsidRDefault="0043734D" w:rsidP="00227740"/>
          <w:p w14:paraId="37B10F69" w14:textId="77777777" w:rsidR="0043734D" w:rsidRPr="000A7FD1" w:rsidRDefault="0043734D" w:rsidP="00227740"/>
          <w:p w14:paraId="20D2CCB0" w14:textId="4D9FD393" w:rsidR="0043734D" w:rsidRPr="000A7FD1" w:rsidRDefault="0043734D" w:rsidP="00227740"/>
        </w:tc>
        <w:tc>
          <w:tcPr>
            <w:tcW w:w="7545" w:type="dxa"/>
            <w:gridSpan w:val="2"/>
            <w:tcBorders>
              <w:top w:val="single" w:sz="4" w:space="0" w:color="auto"/>
              <w:bottom w:val="single" w:sz="6" w:space="0" w:color="auto"/>
            </w:tcBorders>
            <w:shd w:val="clear" w:color="auto" w:fill="D9D9D9" w:themeFill="background1" w:themeFillShade="D9"/>
          </w:tcPr>
          <w:p w14:paraId="52033F72" w14:textId="2CECBE0C" w:rsidR="0043734D" w:rsidRPr="000A7FD1" w:rsidRDefault="001C26D3" w:rsidP="00E82333">
            <w:pPr>
              <w:pStyle w:val="Table-Head-Center"/>
              <w:tabs>
                <w:tab w:val="center" w:pos="3088"/>
              </w:tabs>
            </w:pPr>
            <w:r w:rsidRPr="000A7FD1">
              <w:t>Transaction and l</w:t>
            </w:r>
            <w:r w:rsidR="0043734D" w:rsidRPr="000A7FD1">
              <w:t>ine item/account</w:t>
            </w:r>
            <w:r w:rsidR="00247EA9" w:rsidRPr="000A7FD1">
              <w:t xml:space="preserve"> </w:t>
            </w:r>
            <w:r w:rsidR="0043734D" w:rsidRPr="000A7FD1">
              <w:t>related</w:t>
            </w:r>
            <w:r w:rsidR="00C879FA" w:rsidRPr="000A7FD1">
              <w:t xml:space="preserve"> </w:t>
            </w:r>
          </w:p>
        </w:tc>
      </w:tr>
      <w:tr w:rsidR="0043734D" w:rsidRPr="000A7FD1" w14:paraId="4AA8A01E" w14:textId="77777777" w:rsidTr="0021164B">
        <w:trPr>
          <w:trHeight w:val="144"/>
        </w:trPr>
        <w:tc>
          <w:tcPr>
            <w:tcW w:w="1800" w:type="dxa"/>
            <w:vMerge/>
            <w:tcBorders>
              <w:top w:val="single" w:sz="6" w:space="0" w:color="auto"/>
              <w:bottom w:val="double" w:sz="4" w:space="0" w:color="auto"/>
            </w:tcBorders>
          </w:tcPr>
          <w:p w14:paraId="35488DB4" w14:textId="77777777" w:rsidR="0043734D" w:rsidRPr="000A7FD1" w:rsidRDefault="0043734D" w:rsidP="00227740"/>
        </w:tc>
        <w:tc>
          <w:tcPr>
            <w:tcW w:w="3240" w:type="dxa"/>
            <w:tcBorders>
              <w:top w:val="single" w:sz="6" w:space="0" w:color="auto"/>
              <w:bottom w:val="nil"/>
            </w:tcBorders>
          </w:tcPr>
          <w:p w14:paraId="3B710410" w14:textId="3CA7EEA0" w:rsidR="0043734D" w:rsidRPr="000A7FD1" w:rsidRDefault="0043734D" w:rsidP="00614CD7">
            <w:pPr>
              <w:pStyle w:val="Table-Head-Left"/>
            </w:pPr>
            <w:r w:rsidRPr="000A7FD1">
              <w:t>Presentation:</w:t>
            </w:r>
          </w:p>
        </w:tc>
        <w:tc>
          <w:tcPr>
            <w:tcW w:w="4305" w:type="dxa"/>
            <w:tcBorders>
              <w:top w:val="single" w:sz="6" w:space="0" w:color="auto"/>
              <w:bottom w:val="nil"/>
            </w:tcBorders>
          </w:tcPr>
          <w:p w14:paraId="79B5B333" w14:textId="77777777" w:rsidR="0043734D" w:rsidRPr="000A7FD1" w:rsidRDefault="0043734D" w:rsidP="00462767"/>
        </w:tc>
      </w:tr>
      <w:tr w:rsidR="0043734D" w:rsidRPr="000A7FD1" w14:paraId="4A9E593F" w14:textId="77777777" w:rsidTr="0021164B">
        <w:trPr>
          <w:trHeight w:val="144"/>
        </w:trPr>
        <w:tc>
          <w:tcPr>
            <w:tcW w:w="1800" w:type="dxa"/>
            <w:vMerge/>
            <w:tcBorders>
              <w:top w:val="single" w:sz="6" w:space="0" w:color="auto"/>
              <w:bottom w:val="double" w:sz="4" w:space="0" w:color="auto"/>
            </w:tcBorders>
          </w:tcPr>
          <w:p w14:paraId="42136AA7" w14:textId="77777777" w:rsidR="0043734D" w:rsidRPr="000A7FD1" w:rsidRDefault="0043734D" w:rsidP="00227740"/>
        </w:tc>
        <w:tc>
          <w:tcPr>
            <w:tcW w:w="3240" w:type="dxa"/>
            <w:tcBorders>
              <w:top w:val="nil"/>
              <w:bottom w:val="nil"/>
            </w:tcBorders>
          </w:tcPr>
          <w:p w14:paraId="7DEF54A4" w14:textId="439A0ABF" w:rsidR="0043734D" w:rsidRPr="000A7FD1" w:rsidRDefault="0043734D" w:rsidP="00921FA6">
            <w:pPr>
              <w:pStyle w:val="TableHanging"/>
              <w:spacing w:before="100" w:beforeAutospacing="1" w:after="100" w:afterAutospacing="1"/>
              <w:contextualSpacing/>
              <w:rPr>
                <w:sz w:val="20"/>
                <w:szCs w:val="20"/>
              </w:rPr>
            </w:pPr>
            <w:r w:rsidRPr="000A7FD1">
              <w:rPr>
                <w:sz w:val="20"/>
                <w:szCs w:val="20"/>
              </w:rPr>
              <w:t>15.</w:t>
            </w:r>
            <w:r w:rsidRPr="000A7FD1">
              <w:rPr>
                <w:sz w:val="20"/>
                <w:szCs w:val="20"/>
              </w:rPr>
              <w:tab/>
              <w:t xml:space="preserve">Financial or other information in the financial statements is not appropriately aggregated or disaggregated or </w:t>
            </w:r>
            <w:r w:rsidR="00921FA6" w:rsidRPr="000A7FD1">
              <w:rPr>
                <w:sz w:val="20"/>
                <w:szCs w:val="20"/>
              </w:rPr>
              <w:t xml:space="preserve">is not </w:t>
            </w:r>
            <w:r w:rsidRPr="000A7FD1">
              <w:rPr>
                <w:sz w:val="20"/>
                <w:szCs w:val="20"/>
              </w:rPr>
              <w:t>clearly described.</w:t>
            </w:r>
          </w:p>
        </w:tc>
        <w:tc>
          <w:tcPr>
            <w:tcW w:w="4305" w:type="dxa"/>
            <w:tcBorders>
              <w:top w:val="nil"/>
              <w:bottom w:val="nil"/>
            </w:tcBorders>
          </w:tcPr>
          <w:p w14:paraId="618F1ED2" w14:textId="29E8E0BB" w:rsidR="0043734D" w:rsidRPr="000A7FD1" w:rsidRDefault="0043734D" w:rsidP="00921FA6">
            <w:pPr>
              <w:pStyle w:val="TableHanging"/>
              <w:spacing w:before="100" w:beforeAutospacing="1" w:after="100" w:afterAutospacing="1"/>
              <w:contextualSpacing/>
              <w:rPr>
                <w:sz w:val="20"/>
                <w:szCs w:val="20"/>
              </w:rPr>
            </w:pPr>
            <w:r w:rsidRPr="000A7FD1">
              <w:rPr>
                <w:sz w:val="20"/>
                <w:szCs w:val="20"/>
              </w:rPr>
              <w:t>15.</w:t>
            </w:r>
            <w:r w:rsidRPr="000A7FD1">
              <w:rPr>
                <w:sz w:val="20"/>
                <w:szCs w:val="20"/>
              </w:rPr>
              <w:tab/>
              <w:t xml:space="preserve">Financial and other information in the financial statements is appropriately aggregated or disaggregated and </w:t>
            </w:r>
            <w:r w:rsidR="00921FA6" w:rsidRPr="000A7FD1">
              <w:rPr>
                <w:sz w:val="20"/>
                <w:szCs w:val="20"/>
              </w:rPr>
              <w:t xml:space="preserve">is </w:t>
            </w:r>
            <w:r w:rsidRPr="000A7FD1">
              <w:rPr>
                <w:sz w:val="20"/>
                <w:szCs w:val="20"/>
              </w:rPr>
              <w:t xml:space="preserve">clearly described. </w:t>
            </w:r>
          </w:p>
        </w:tc>
      </w:tr>
      <w:tr w:rsidR="0043734D" w:rsidRPr="000A7FD1" w14:paraId="526941BC" w14:textId="77777777" w:rsidTr="0021164B">
        <w:trPr>
          <w:trHeight w:val="144"/>
        </w:trPr>
        <w:tc>
          <w:tcPr>
            <w:tcW w:w="1800" w:type="dxa"/>
            <w:vMerge/>
            <w:tcBorders>
              <w:top w:val="single" w:sz="6" w:space="0" w:color="auto"/>
              <w:bottom w:val="double" w:sz="4" w:space="0" w:color="auto"/>
            </w:tcBorders>
          </w:tcPr>
          <w:p w14:paraId="37D2A280" w14:textId="77777777" w:rsidR="0043734D" w:rsidRPr="000A7FD1" w:rsidRDefault="0043734D" w:rsidP="00227740"/>
        </w:tc>
        <w:tc>
          <w:tcPr>
            <w:tcW w:w="3240" w:type="dxa"/>
            <w:tcBorders>
              <w:top w:val="nil"/>
              <w:bottom w:val="nil"/>
            </w:tcBorders>
          </w:tcPr>
          <w:p w14:paraId="26B0CF75" w14:textId="77777777" w:rsidR="0043734D" w:rsidRPr="000A7FD1" w:rsidRDefault="0043734D" w:rsidP="00614CD7">
            <w:pPr>
              <w:pStyle w:val="Table-Head-Left"/>
            </w:pPr>
            <w:r w:rsidRPr="000A7FD1">
              <w:t>Consistency:</w:t>
            </w:r>
          </w:p>
        </w:tc>
        <w:tc>
          <w:tcPr>
            <w:tcW w:w="4305" w:type="dxa"/>
            <w:tcBorders>
              <w:top w:val="nil"/>
              <w:bottom w:val="nil"/>
            </w:tcBorders>
          </w:tcPr>
          <w:p w14:paraId="681395DE" w14:textId="77777777" w:rsidR="0043734D" w:rsidRPr="000A7FD1" w:rsidRDefault="0043734D" w:rsidP="00462767"/>
        </w:tc>
      </w:tr>
      <w:tr w:rsidR="0043734D" w:rsidRPr="000A7FD1" w14:paraId="6DC5ABF7" w14:textId="77777777" w:rsidTr="004112B3">
        <w:trPr>
          <w:trHeight w:val="144"/>
        </w:trPr>
        <w:tc>
          <w:tcPr>
            <w:tcW w:w="1800" w:type="dxa"/>
            <w:vMerge/>
            <w:tcBorders>
              <w:top w:val="single" w:sz="6" w:space="0" w:color="auto"/>
              <w:bottom w:val="single" w:sz="4" w:space="0" w:color="auto"/>
            </w:tcBorders>
          </w:tcPr>
          <w:p w14:paraId="6593C2C7" w14:textId="77777777" w:rsidR="0043734D" w:rsidRPr="000A7FD1" w:rsidRDefault="0043734D" w:rsidP="00227740"/>
        </w:tc>
        <w:tc>
          <w:tcPr>
            <w:tcW w:w="3240" w:type="dxa"/>
            <w:tcBorders>
              <w:top w:val="nil"/>
              <w:bottom w:val="single" w:sz="4" w:space="0" w:color="auto"/>
            </w:tcBorders>
          </w:tcPr>
          <w:p w14:paraId="15684040" w14:textId="77777777" w:rsidR="0043734D" w:rsidRPr="000A7FD1" w:rsidRDefault="0043734D" w:rsidP="000F0BD6">
            <w:pPr>
              <w:pStyle w:val="TableHanging"/>
              <w:spacing w:before="100" w:beforeAutospacing="1" w:after="100" w:afterAutospacing="1"/>
              <w:contextualSpacing/>
              <w:rPr>
                <w:sz w:val="20"/>
                <w:szCs w:val="20"/>
              </w:rPr>
            </w:pPr>
            <w:r w:rsidRPr="000A7FD1">
              <w:rPr>
                <w:sz w:val="20"/>
                <w:szCs w:val="20"/>
              </w:rPr>
              <w:t>16.</w:t>
            </w:r>
            <w:r w:rsidRPr="000A7FD1">
              <w:rPr>
                <w:sz w:val="20"/>
                <w:szCs w:val="20"/>
              </w:rPr>
              <w:tab/>
              <w:t>The current period financial statement components are based on accounting principles different from those used in the prior periods presented.</w:t>
            </w:r>
          </w:p>
          <w:p w14:paraId="79DA17BC" w14:textId="77777777" w:rsidR="0021164B" w:rsidRPr="000A7FD1" w:rsidRDefault="0021164B" w:rsidP="000F0BD6">
            <w:pPr>
              <w:pStyle w:val="TableHanging"/>
              <w:spacing w:before="100" w:beforeAutospacing="1" w:after="100" w:afterAutospacing="1"/>
              <w:contextualSpacing/>
              <w:rPr>
                <w:sz w:val="20"/>
                <w:szCs w:val="20"/>
              </w:rPr>
            </w:pPr>
          </w:p>
        </w:tc>
        <w:tc>
          <w:tcPr>
            <w:tcW w:w="4305" w:type="dxa"/>
            <w:tcBorders>
              <w:top w:val="nil"/>
              <w:bottom w:val="single" w:sz="4" w:space="0" w:color="auto"/>
            </w:tcBorders>
          </w:tcPr>
          <w:p w14:paraId="3ECD8720" w14:textId="77777777" w:rsidR="0043734D" w:rsidRPr="000A7FD1" w:rsidRDefault="0043734D" w:rsidP="000F0BD6">
            <w:pPr>
              <w:pStyle w:val="TableHanging"/>
              <w:spacing w:before="100" w:beforeAutospacing="1" w:after="100" w:afterAutospacing="1"/>
              <w:contextualSpacing/>
              <w:rPr>
                <w:sz w:val="20"/>
                <w:szCs w:val="20"/>
              </w:rPr>
            </w:pPr>
            <w:r w:rsidRPr="000A7FD1">
              <w:rPr>
                <w:sz w:val="20"/>
                <w:szCs w:val="20"/>
              </w:rPr>
              <w:t>16.</w:t>
            </w:r>
            <w:r w:rsidRPr="000A7FD1">
              <w:rPr>
                <w:sz w:val="20"/>
                <w:szCs w:val="20"/>
              </w:rPr>
              <w:tab/>
              <w:t>The financial statement components are based on accounting principles that are applied consistently from period to period.</w:t>
            </w:r>
          </w:p>
        </w:tc>
      </w:tr>
      <w:tr w:rsidR="00460EBB" w:rsidRPr="000A7FD1" w14:paraId="7FDA7616" w14:textId="77777777" w:rsidTr="004112B3">
        <w:trPr>
          <w:trHeight w:val="144"/>
        </w:trPr>
        <w:tc>
          <w:tcPr>
            <w:tcW w:w="1800" w:type="dxa"/>
            <w:vMerge/>
            <w:tcBorders>
              <w:top w:val="single" w:sz="4" w:space="0" w:color="auto"/>
              <w:bottom w:val="double" w:sz="4" w:space="0" w:color="auto"/>
            </w:tcBorders>
          </w:tcPr>
          <w:p w14:paraId="61928FDF" w14:textId="77777777" w:rsidR="00460EBB" w:rsidRPr="000A7FD1" w:rsidRDefault="00460EBB" w:rsidP="00462767"/>
        </w:tc>
        <w:tc>
          <w:tcPr>
            <w:tcW w:w="3240" w:type="dxa"/>
            <w:tcBorders>
              <w:top w:val="single" w:sz="4" w:space="0" w:color="auto"/>
              <w:bottom w:val="nil"/>
            </w:tcBorders>
          </w:tcPr>
          <w:p w14:paraId="4EA64377" w14:textId="77777777" w:rsidR="00460EBB" w:rsidRPr="000A7FD1" w:rsidRDefault="00460EBB" w:rsidP="00462767">
            <w:pPr>
              <w:pStyle w:val="Table-Head-Left"/>
            </w:pPr>
            <w:r w:rsidRPr="000A7FD1">
              <w:t>Disclosure:</w:t>
            </w:r>
          </w:p>
        </w:tc>
        <w:tc>
          <w:tcPr>
            <w:tcW w:w="4305" w:type="dxa"/>
            <w:tcBorders>
              <w:top w:val="single" w:sz="4" w:space="0" w:color="auto"/>
              <w:bottom w:val="nil"/>
            </w:tcBorders>
          </w:tcPr>
          <w:p w14:paraId="5B7703D2" w14:textId="77777777" w:rsidR="00460EBB" w:rsidRPr="000A7FD1" w:rsidRDefault="00460EBB" w:rsidP="00794959">
            <w:pPr>
              <w:pStyle w:val="TableHanging"/>
            </w:pPr>
          </w:p>
        </w:tc>
      </w:tr>
      <w:tr w:rsidR="00460EBB" w:rsidRPr="000A7FD1" w14:paraId="178B3E3D" w14:textId="77777777" w:rsidTr="0021164B">
        <w:trPr>
          <w:trHeight w:val="144"/>
        </w:trPr>
        <w:tc>
          <w:tcPr>
            <w:tcW w:w="1800" w:type="dxa"/>
            <w:vMerge/>
            <w:tcBorders>
              <w:top w:val="single" w:sz="6" w:space="0" w:color="auto"/>
              <w:bottom w:val="single" w:sz="4" w:space="0" w:color="auto"/>
            </w:tcBorders>
          </w:tcPr>
          <w:p w14:paraId="7AF13249" w14:textId="77777777" w:rsidR="00460EBB" w:rsidRPr="000A7FD1" w:rsidRDefault="00460EBB" w:rsidP="00462767"/>
        </w:tc>
        <w:tc>
          <w:tcPr>
            <w:tcW w:w="3240" w:type="dxa"/>
            <w:tcBorders>
              <w:top w:val="nil"/>
              <w:bottom w:val="single" w:sz="4" w:space="0" w:color="auto"/>
            </w:tcBorders>
          </w:tcPr>
          <w:p w14:paraId="09670D0D" w14:textId="77777777" w:rsidR="00460EBB" w:rsidRPr="000A7FD1" w:rsidRDefault="00460EBB" w:rsidP="000F0BD6">
            <w:pPr>
              <w:pStyle w:val="TableHanging"/>
              <w:spacing w:before="100" w:beforeAutospacing="1" w:after="100" w:afterAutospacing="1"/>
              <w:contextualSpacing/>
              <w:rPr>
                <w:sz w:val="20"/>
                <w:szCs w:val="20"/>
              </w:rPr>
            </w:pPr>
            <w:r w:rsidRPr="000A7FD1">
              <w:rPr>
                <w:sz w:val="20"/>
                <w:szCs w:val="20"/>
              </w:rPr>
              <w:t>17.</w:t>
            </w:r>
            <w:r w:rsidRPr="000A7FD1">
              <w:rPr>
                <w:sz w:val="20"/>
                <w:szCs w:val="20"/>
              </w:rPr>
              <w:tab/>
            </w:r>
            <w:r w:rsidR="005E3350" w:rsidRPr="000A7FD1">
              <w:rPr>
                <w:sz w:val="20"/>
                <w:szCs w:val="20"/>
              </w:rPr>
              <w:t>Note d</w:t>
            </w:r>
            <w:r w:rsidR="00D51BE8" w:rsidRPr="000A7FD1">
              <w:rPr>
                <w:sz w:val="20"/>
                <w:szCs w:val="20"/>
              </w:rPr>
              <w:t xml:space="preserve">isclosures are </w:t>
            </w:r>
            <w:r w:rsidR="005D7956" w:rsidRPr="000A7FD1">
              <w:rPr>
                <w:sz w:val="20"/>
                <w:szCs w:val="20"/>
              </w:rPr>
              <w:t xml:space="preserve">not appropriately measured or described or </w:t>
            </w:r>
            <w:r w:rsidR="00921FA6" w:rsidRPr="000A7FD1">
              <w:rPr>
                <w:sz w:val="20"/>
                <w:szCs w:val="20"/>
              </w:rPr>
              <w:t xml:space="preserve">are not </w:t>
            </w:r>
            <w:r w:rsidR="005D7956" w:rsidRPr="000A7FD1">
              <w:rPr>
                <w:sz w:val="20"/>
                <w:szCs w:val="20"/>
              </w:rPr>
              <w:t xml:space="preserve">relevant and </w:t>
            </w:r>
            <w:r w:rsidR="00D51BE8" w:rsidRPr="000A7FD1">
              <w:rPr>
                <w:sz w:val="20"/>
                <w:szCs w:val="20"/>
              </w:rPr>
              <w:t xml:space="preserve">understandable in the context of the requirements of </w:t>
            </w:r>
            <w:r w:rsidR="00294529" w:rsidRPr="000A7FD1">
              <w:rPr>
                <w:sz w:val="20"/>
                <w:szCs w:val="20"/>
              </w:rPr>
              <w:t>U.S. GAAP</w:t>
            </w:r>
            <w:r w:rsidR="00D51BE8" w:rsidRPr="000A7FD1">
              <w:rPr>
                <w:sz w:val="20"/>
                <w:szCs w:val="20"/>
              </w:rPr>
              <w:t xml:space="preserve">. </w:t>
            </w:r>
            <w:r w:rsidR="003866A1" w:rsidRPr="000A7FD1">
              <w:rPr>
                <w:sz w:val="20"/>
                <w:szCs w:val="20"/>
              </w:rPr>
              <w:t>Not a</w:t>
            </w:r>
            <w:r w:rsidR="00D51BE8" w:rsidRPr="000A7FD1">
              <w:rPr>
                <w:sz w:val="20"/>
                <w:szCs w:val="20"/>
              </w:rPr>
              <w:t xml:space="preserve">ll </w:t>
            </w:r>
            <w:r w:rsidR="005E3350" w:rsidRPr="000A7FD1">
              <w:rPr>
                <w:sz w:val="20"/>
                <w:szCs w:val="20"/>
              </w:rPr>
              <w:t xml:space="preserve">note </w:t>
            </w:r>
            <w:r w:rsidR="00D51BE8" w:rsidRPr="000A7FD1">
              <w:rPr>
                <w:sz w:val="20"/>
                <w:szCs w:val="20"/>
              </w:rPr>
              <w:t>disclosures that should have been included in the financial statements have been included. Disclosed transactions and events did not actually occur or pertain to the entity.</w:t>
            </w:r>
          </w:p>
          <w:p w14:paraId="122303F2" w14:textId="2E9E30FE" w:rsidR="004112B3" w:rsidRPr="000A7FD1" w:rsidRDefault="004112B3" w:rsidP="000F0BD6">
            <w:pPr>
              <w:pStyle w:val="TableHanging"/>
              <w:spacing w:before="100" w:beforeAutospacing="1" w:after="100" w:afterAutospacing="1"/>
              <w:contextualSpacing/>
              <w:rPr>
                <w:sz w:val="20"/>
                <w:szCs w:val="20"/>
              </w:rPr>
            </w:pPr>
          </w:p>
        </w:tc>
        <w:tc>
          <w:tcPr>
            <w:tcW w:w="4305" w:type="dxa"/>
            <w:tcBorders>
              <w:top w:val="nil"/>
              <w:bottom w:val="single" w:sz="4" w:space="0" w:color="auto"/>
            </w:tcBorders>
          </w:tcPr>
          <w:p w14:paraId="645B2444" w14:textId="0D4AD51A" w:rsidR="00460EBB" w:rsidRPr="000A7FD1" w:rsidRDefault="00460EBB" w:rsidP="00921FA6">
            <w:pPr>
              <w:pStyle w:val="TableHanging"/>
              <w:spacing w:before="100" w:beforeAutospacing="1" w:after="100" w:afterAutospacing="1"/>
              <w:contextualSpacing/>
              <w:rPr>
                <w:sz w:val="20"/>
                <w:szCs w:val="20"/>
              </w:rPr>
            </w:pPr>
            <w:r w:rsidRPr="000A7FD1">
              <w:rPr>
                <w:sz w:val="20"/>
                <w:szCs w:val="20"/>
              </w:rPr>
              <w:t>17.</w:t>
            </w:r>
            <w:r w:rsidRPr="000A7FD1">
              <w:rPr>
                <w:sz w:val="20"/>
                <w:szCs w:val="20"/>
              </w:rPr>
              <w:tab/>
            </w:r>
            <w:r w:rsidR="005E3350" w:rsidRPr="000A7FD1">
              <w:rPr>
                <w:sz w:val="20"/>
                <w:szCs w:val="20"/>
              </w:rPr>
              <w:t>Note d</w:t>
            </w:r>
            <w:r w:rsidR="00060167" w:rsidRPr="000A7FD1">
              <w:rPr>
                <w:sz w:val="20"/>
                <w:szCs w:val="20"/>
              </w:rPr>
              <w:t xml:space="preserve">isclosures </w:t>
            </w:r>
            <w:r w:rsidR="005D7956" w:rsidRPr="000A7FD1">
              <w:rPr>
                <w:sz w:val="20"/>
                <w:szCs w:val="20"/>
              </w:rPr>
              <w:t xml:space="preserve">are appropriately measured and described and </w:t>
            </w:r>
            <w:r w:rsidR="00921FA6" w:rsidRPr="000A7FD1">
              <w:rPr>
                <w:sz w:val="20"/>
                <w:szCs w:val="20"/>
              </w:rPr>
              <w:t xml:space="preserve">are </w:t>
            </w:r>
            <w:r w:rsidR="00060167" w:rsidRPr="000A7FD1">
              <w:rPr>
                <w:sz w:val="20"/>
                <w:szCs w:val="20"/>
              </w:rPr>
              <w:t>relevant and understandable</w:t>
            </w:r>
            <w:r w:rsidR="00ED5AE7" w:rsidRPr="000A7FD1">
              <w:rPr>
                <w:sz w:val="20"/>
                <w:szCs w:val="20"/>
              </w:rPr>
              <w:t xml:space="preserve"> in the context of the requirements of </w:t>
            </w:r>
            <w:r w:rsidR="00294529" w:rsidRPr="000A7FD1">
              <w:rPr>
                <w:sz w:val="20"/>
                <w:szCs w:val="20"/>
              </w:rPr>
              <w:t>U.S. GAAP</w:t>
            </w:r>
            <w:r w:rsidR="00ED5AE7" w:rsidRPr="000A7FD1">
              <w:rPr>
                <w:sz w:val="20"/>
                <w:szCs w:val="20"/>
              </w:rPr>
              <w:t xml:space="preserve">. All </w:t>
            </w:r>
            <w:r w:rsidR="005E3350" w:rsidRPr="000A7FD1">
              <w:rPr>
                <w:sz w:val="20"/>
                <w:szCs w:val="20"/>
              </w:rPr>
              <w:t xml:space="preserve">note </w:t>
            </w:r>
            <w:r w:rsidR="00ED5AE7" w:rsidRPr="000A7FD1">
              <w:rPr>
                <w:sz w:val="20"/>
                <w:szCs w:val="20"/>
              </w:rPr>
              <w:t xml:space="preserve">disclosures that should have been included in the financial statements have been included. Disclosed transactions and events have occurred and pertain to the entity. </w:t>
            </w:r>
          </w:p>
        </w:tc>
      </w:tr>
      <w:tr w:rsidR="00460EBB" w:rsidRPr="000A7FD1" w14:paraId="1F6AF216" w14:textId="77777777" w:rsidTr="0021164B">
        <w:trPr>
          <w:trHeight w:val="144"/>
        </w:trPr>
        <w:tc>
          <w:tcPr>
            <w:tcW w:w="1800" w:type="dxa"/>
            <w:tcBorders>
              <w:top w:val="single" w:sz="4" w:space="0" w:color="auto"/>
              <w:bottom w:val="nil"/>
            </w:tcBorders>
          </w:tcPr>
          <w:p w14:paraId="53DF7576" w14:textId="5BE82BFD" w:rsidR="00460EBB" w:rsidRPr="000A7FD1" w:rsidRDefault="00DD2393" w:rsidP="00462767">
            <w:r w:rsidRPr="000A7FD1">
              <w:br w:type="page"/>
            </w:r>
            <w:r w:rsidR="00227740" w:rsidRPr="000A7FD1">
              <w:br w:type="page"/>
            </w:r>
          </w:p>
        </w:tc>
        <w:tc>
          <w:tcPr>
            <w:tcW w:w="7545" w:type="dxa"/>
            <w:gridSpan w:val="2"/>
            <w:tcBorders>
              <w:top w:val="single" w:sz="4" w:space="0" w:color="auto"/>
              <w:bottom w:val="single" w:sz="6" w:space="0" w:color="auto"/>
            </w:tcBorders>
            <w:shd w:val="clear" w:color="auto" w:fill="D9D9D9" w:themeFill="background1" w:themeFillShade="D9"/>
          </w:tcPr>
          <w:p w14:paraId="3EAA1EC3" w14:textId="11439712" w:rsidR="00460EBB" w:rsidRPr="000A7FD1" w:rsidRDefault="00460EBB" w:rsidP="00E82333">
            <w:pPr>
              <w:pStyle w:val="Table-Head-Center"/>
              <w:tabs>
                <w:tab w:val="center" w:pos="3088"/>
              </w:tabs>
            </w:pPr>
            <w:r w:rsidRPr="000A7FD1">
              <w:t>Transaction</w:t>
            </w:r>
            <w:r w:rsidR="001C26D3" w:rsidRPr="000A7FD1">
              <w:t xml:space="preserve"> and line item/account</w:t>
            </w:r>
            <w:r w:rsidR="00247EA9" w:rsidRPr="000A7FD1">
              <w:t xml:space="preserve"> </w:t>
            </w:r>
            <w:r w:rsidRPr="000A7FD1">
              <w:t>related</w:t>
            </w:r>
          </w:p>
        </w:tc>
      </w:tr>
      <w:tr w:rsidR="00460EBB" w:rsidRPr="000A7FD1" w14:paraId="462D4E48" w14:textId="77777777" w:rsidTr="004112B3">
        <w:trPr>
          <w:trHeight w:val="144"/>
        </w:trPr>
        <w:tc>
          <w:tcPr>
            <w:tcW w:w="1800" w:type="dxa"/>
            <w:tcBorders>
              <w:top w:val="nil"/>
              <w:bottom w:val="nil"/>
            </w:tcBorders>
          </w:tcPr>
          <w:p w14:paraId="64D60843" w14:textId="77777777" w:rsidR="00460EBB" w:rsidRPr="000A7FD1" w:rsidRDefault="00460EBB" w:rsidP="00462767"/>
        </w:tc>
        <w:tc>
          <w:tcPr>
            <w:tcW w:w="3240" w:type="dxa"/>
            <w:tcBorders>
              <w:top w:val="single" w:sz="6" w:space="0" w:color="auto"/>
              <w:bottom w:val="nil"/>
            </w:tcBorders>
          </w:tcPr>
          <w:p w14:paraId="0207DD1E" w14:textId="77777777" w:rsidR="00460EBB" w:rsidRPr="000A7FD1" w:rsidRDefault="00460EBB" w:rsidP="00614CD7">
            <w:pPr>
              <w:pStyle w:val="Table-Head-Left"/>
            </w:pPr>
            <w:r w:rsidRPr="000A7FD1">
              <w:t>Segregation of duties:</w:t>
            </w:r>
            <w:r w:rsidRPr="000A7FD1">
              <w:rPr>
                <w:rStyle w:val="FootnoteReference"/>
                <w:b w:val="0"/>
              </w:rPr>
              <w:footnoteReference w:id="12"/>
            </w:r>
          </w:p>
        </w:tc>
        <w:tc>
          <w:tcPr>
            <w:tcW w:w="4305" w:type="dxa"/>
            <w:tcBorders>
              <w:top w:val="single" w:sz="6" w:space="0" w:color="auto"/>
              <w:bottom w:val="nil"/>
            </w:tcBorders>
          </w:tcPr>
          <w:p w14:paraId="02BA7529" w14:textId="77777777" w:rsidR="00460EBB" w:rsidRPr="000A7FD1" w:rsidRDefault="00460EBB" w:rsidP="00462767"/>
        </w:tc>
      </w:tr>
      <w:tr w:rsidR="00460EBB" w:rsidRPr="000A7FD1" w14:paraId="10553108" w14:textId="77777777" w:rsidTr="000F0BD6">
        <w:trPr>
          <w:trHeight w:val="144"/>
        </w:trPr>
        <w:tc>
          <w:tcPr>
            <w:tcW w:w="1800" w:type="dxa"/>
            <w:tcBorders>
              <w:top w:val="nil"/>
              <w:bottom w:val="double" w:sz="4" w:space="0" w:color="auto"/>
            </w:tcBorders>
          </w:tcPr>
          <w:p w14:paraId="53210D52" w14:textId="77777777" w:rsidR="00460EBB" w:rsidRPr="000A7FD1" w:rsidRDefault="00460EBB" w:rsidP="00462767"/>
        </w:tc>
        <w:tc>
          <w:tcPr>
            <w:tcW w:w="3240" w:type="dxa"/>
            <w:tcBorders>
              <w:top w:val="nil"/>
              <w:bottom w:val="double" w:sz="4" w:space="0" w:color="auto"/>
            </w:tcBorders>
          </w:tcPr>
          <w:p w14:paraId="3608EDF0" w14:textId="6190A97D" w:rsidR="004112B3" w:rsidRPr="000A7FD1" w:rsidRDefault="00460EBB" w:rsidP="004112B3">
            <w:pPr>
              <w:pStyle w:val="TableHanging"/>
              <w:spacing w:before="100" w:beforeAutospacing="1" w:after="100" w:afterAutospacing="1"/>
              <w:ind w:left="490" w:hanging="490"/>
              <w:contextualSpacing/>
              <w:rPr>
                <w:sz w:val="20"/>
                <w:szCs w:val="20"/>
              </w:rPr>
            </w:pPr>
            <w:r w:rsidRPr="000A7FD1">
              <w:rPr>
                <w:sz w:val="20"/>
                <w:szCs w:val="20"/>
              </w:rPr>
              <w:t>18.</w:t>
            </w:r>
            <w:r w:rsidRPr="000A7FD1">
              <w:rPr>
                <w:sz w:val="20"/>
                <w:szCs w:val="20"/>
              </w:rPr>
              <w:tab/>
              <w:t>The entity is exposed to loss of assets and various potential misstatements, including certain of those above, as the result of inadequate segregation of duties.</w:t>
            </w:r>
          </w:p>
        </w:tc>
        <w:tc>
          <w:tcPr>
            <w:tcW w:w="4305" w:type="dxa"/>
            <w:tcBorders>
              <w:top w:val="nil"/>
              <w:bottom w:val="double" w:sz="4" w:space="0" w:color="auto"/>
            </w:tcBorders>
          </w:tcPr>
          <w:p w14:paraId="0F9CE04A" w14:textId="77777777" w:rsidR="00460EBB" w:rsidRPr="000A7FD1" w:rsidRDefault="00460EBB" w:rsidP="000F0BD6">
            <w:pPr>
              <w:pStyle w:val="TableHanging"/>
              <w:spacing w:before="100" w:beforeAutospacing="1" w:after="100" w:afterAutospacing="1"/>
              <w:ind w:left="490" w:hanging="490"/>
              <w:contextualSpacing/>
              <w:rPr>
                <w:sz w:val="20"/>
                <w:szCs w:val="20"/>
              </w:rPr>
            </w:pPr>
            <w:r w:rsidRPr="000A7FD1">
              <w:rPr>
                <w:sz w:val="20"/>
                <w:szCs w:val="20"/>
              </w:rPr>
              <w:t>18.</w:t>
            </w:r>
            <w:r w:rsidRPr="000A7FD1">
              <w:rPr>
                <w:sz w:val="20"/>
                <w:szCs w:val="20"/>
              </w:rPr>
              <w:tab/>
              <w:t>Persons do not have uncontrolled access to both assets and records; they are not assigned duties to put them in a position that would allow them to both commit and conceal errors or fraud.</w:t>
            </w:r>
          </w:p>
        </w:tc>
      </w:tr>
    </w:tbl>
    <w:p w14:paraId="46178B61" w14:textId="79494659" w:rsidR="00B34356" w:rsidRPr="000A7FD1" w:rsidRDefault="00B34356" w:rsidP="00933216">
      <w:pPr>
        <w:sectPr w:rsidR="00B34356" w:rsidRPr="000A7FD1" w:rsidSect="00666BFE">
          <w:headerReference w:type="default" r:id="rId47"/>
          <w:footerReference w:type="default" r:id="rId48"/>
          <w:endnotePr>
            <w:numFmt w:val="decimal"/>
          </w:endnotePr>
          <w:pgSz w:w="12240" w:h="15840"/>
          <w:pgMar w:top="1080" w:right="1440" w:bottom="1080" w:left="1080" w:header="720" w:footer="720" w:gutter="360"/>
          <w:pgNumType w:start="1"/>
          <w:cols w:space="720"/>
          <w:noEndnote/>
          <w:docGrid w:linePitch="326"/>
        </w:sectPr>
      </w:pPr>
    </w:p>
    <w:p w14:paraId="104AD172" w14:textId="77777777" w:rsidR="00B34356" w:rsidRPr="000A7FD1" w:rsidRDefault="00B34356" w:rsidP="00713125">
      <w:pPr>
        <w:pStyle w:val="Heading2FAM"/>
      </w:pPr>
      <w:r w:rsidRPr="000A7FD1">
        <w:lastRenderedPageBreak/>
        <w:t xml:space="preserve">395 C </w:t>
      </w:r>
      <w:r w:rsidR="004C25AA" w:rsidRPr="000A7FD1">
        <w:t>–</w:t>
      </w:r>
      <w:r w:rsidRPr="000A7FD1">
        <w:t xml:space="preserve"> Typical Control Activities</w:t>
      </w:r>
    </w:p>
    <w:p w14:paraId="2151C7A6" w14:textId="77777777" w:rsidR="00B34356" w:rsidRPr="000A7FD1" w:rsidRDefault="00B34356" w:rsidP="004E3BDA">
      <w:pPr>
        <w:pStyle w:val="StyleHeading3FAM"/>
      </w:pPr>
      <w:r w:rsidRPr="000A7FD1">
        <w:t>Authorization</w:t>
      </w:r>
    </w:p>
    <w:p w14:paraId="5964FED9" w14:textId="77777777" w:rsidR="00B34356" w:rsidRPr="000A7FD1" w:rsidRDefault="00B34356" w:rsidP="000D1813">
      <w:pPr>
        <w:pStyle w:val="FAM-Subsection"/>
        <w:numPr>
          <w:ilvl w:val="0"/>
          <w:numId w:val="31"/>
        </w:numPr>
      </w:pPr>
      <w:r w:rsidRPr="000A7FD1">
        <w:t>Authorization controls are designed to provide reasonable assurance that (1) transactions, (2) events from which they arise, and (3) procedures under which they are processed are authorized in accordance with laws, regulations, contracts, grant agreements, and management policy. Typical authorization controls include</w:t>
      </w:r>
    </w:p>
    <w:p w14:paraId="1291B8FB" w14:textId="77777777" w:rsidR="00B34356" w:rsidRPr="000A7FD1" w:rsidRDefault="00B34356" w:rsidP="000D1813">
      <w:pPr>
        <w:pStyle w:val="FAM-Bullet-1"/>
        <w:numPr>
          <w:ilvl w:val="0"/>
          <w:numId w:val="61"/>
        </w:numPr>
        <w:ind w:left="1800"/>
      </w:pPr>
      <w:r w:rsidRPr="000A7FD1">
        <w:t>documented policies establishing events or transactions that the entity is authorized to engage in by law, regulation, contract, grant agreement, or management policy;</w:t>
      </w:r>
    </w:p>
    <w:p w14:paraId="7B72291B" w14:textId="0ADDF415" w:rsidR="00B34356" w:rsidRPr="000A7FD1" w:rsidRDefault="00B34356" w:rsidP="000D1813">
      <w:pPr>
        <w:pStyle w:val="FAM-Bullet-1"/>
        <w:numPr>
          <w:ilvl w:val="0"/>
          <w:numId w:val="61"/>
        </w:numPr>
        <w:ind w:left="1800"/>
      </w:pPr>
      <w:r w:rsidRPr="000A7FD1">
        <w:t>documented policies and procedures for processing transactions in accordance with laws, regulations, contracts, grant agreements, or management policy; and</w:t>
      </w:r>
    </w:p>
    <w:p w14:paraId="659FEC4A" w14:textId="77777777" w:rsidR="00B34356" w:rsidRPr="000A7FD1" w:rsidRDefault="00B34356" w:rsidP="000D1813">
      <w:pPr>
        <w:pStyle w:val="FAM-Bullet-1"/>
        <w:numPr>
          <w:ilvl w:val="0"/>
          <w:numId w:val="61"/>
        </w:numPr>
        <w:ind w:left="1800"/>
      </w:pPr>
      <w:r w:rsidRPr="000A7FD1">
        <w:t xml:space="preserve">master files </w:t>
      </w:r>
      <w:r w:rsidR="00285018" w:rsidRPr="000A7FD1">
        <w:t xml:space="preserve">that </w:t>
      </w:r>
      <w:r w:rsidRPr="000A7FD1">
        <w:t>include only authorized employees, customers, or suppliers.</w:t>
      </w:r>
    </w:p>
    <w:p w14:paraId="4338B9E9" w14:textId="77777777" w:rsidR="00B34356" w:rsidRPr="000A7FD1" w:rsidRDefault="00B34356" w:rsidP="004E3BDA">
      <w:pPr>
        <w:pStyle w:val="StyleHeading3FAM"/>
      </w:pPr>
      <w:r w:rsidRPr="000A7FD1">
        <w:t>Approval</w:t>
      </w:r>
    </w:p>
    <w:p w14:paraId="7240F01D" w14:textId="62B7DC23" w:rsidR="00B34356" w:rsidRPr="000A7FD1" w:rsidRDefault="00B34356" w:rsidP="004A102E">
      <w:pPr>
        <w:pStyle w:val="FAMSubsection"/>
      </w:pPr>
      <w:r w:rsidRPr="000A7FD1">
        <w:t xml:space="preserve">Approval controls are designed to provide reasonable assurance that appropriate individuals approve recorded transactions </w:t>
      </w:r>
      <w:r w:rsidR="00B5591B" w:rsidRPr="000A7FD1">
        <w:t xml:space="preserve">and events </w:t>
      </w:r>
      <w:r w:rsidRPr="000A7FD1">
        <w:t>in accordance with management’s general or specific criteria. Typical approval controls occur when</w:t>
      </w:r>
      <w:r w:rsidR="003117A1" w:rsidRPr="000A7FD1">
        <w:t xml:space="preserve"> the following occurs</w:t>
      </w:r>
      <w:r w:rsidRPr="000A7FD1">
        <w:t>:</w:t>
      </w:r>
    </w:p>
    <w:p w14:paraId="40488BE2" w14:textId="3369ED29" w:rsidR="00B34356" w:rsidRPr="000A7FD1" w:rsidRDefault="00B34356" w:rsidP="000D1813">
      <w:pPr>
        <w:pStyle w:val="FAM-Bullet-1"/>
        <w:numPr>
          <w:ilvl w:val="0"/>
          <w:numId w:val="62"/>
        </w:numPr>
        <w:ind w:left="1800"/>
      </w:pPr>
      <w:r w:rsidRPr="000A7FD1">
        <w:t xml:space="preserve">Transactions </w:t>
      </w:r>
      <w:r w:rsidR="00B5591B" w:rsidRPr="000A7FD1">
        <w:t xml:space="preserve">and events </w:t>
      </w:r>
      <w:r w:rsidRPr="000A7FD1">
        <w:t>are approved by persons having the authority to do so (such as the specific approval of purchases by the procurement officer or other designated individual with procurement authority) in accordance with established policies and procedures.</w:t>
      </w:r>
    </w:p>
    <w:p w14:paraId="3A2B46FA" w14:textId="77777777" w:rsidR="00B34356" w:rsidRPr="000A7FD1" w:rsidRDefault="00B34356" w:rsidP="000D1813">
      <w:pPr>
        <w:pStyle w:val="FAM-Bullet-1"/>
        <w:numPr>
          <w:ilvl w:val="0"/>
          <w:numId w:val="62"/>
        </w:numPr>
        <w:ind w:left="1800"/>
      </w:pPr>
      <w:r w:rsidRPr="000A7FD1">
        <w:t>Transactions are compared with predetermined expectations (invoice terms are compared with agreed-upon prices, input is checked for valid data type for a particular field, etc.), and exceptions are reviewed by someone authorized to approve them.</w:t>
      </w:r>
    </w:p>
    <w:p w14:paraId="294EB18C" w14:textId="77777777" w:rsidR="00B34356" w:rsidRPr="000A7FD1" w:rsidRDefault="00B34356" w:rsidP="000D1813">
      <w:pPr>
        <w:pStyle w:val="FAM-Bullet-1"/>
        <w:numPr>
          <w:ilvl w:val="0"/>
          <w:numId w:val="62"/>
        </w:numPr>
        <w:ind w:left="1800"/>
      </w:pPr>
      <w:r w:rsidRPr="000A7FD1">
        <w:t>Transactions are compared with approved master files (such as approved customer credit limits or approved vendors) before approval or acceptance, and exceptions are reviewed by someone authorized to approve them or correct the situation.</w:t>
      </w:r>
    </w:p>
    <w:p w14:paraId="4AFE21B3" w14:textId="67B4D323" w:rsidR="00B34356" w:rsidRPr="000A7FD1" w:rsidRDefault="00B34356" w:rsidP="000D1813">
      <w:pPr>
        <w:pStyle w:val="FAM-Bullet-1"/>
        <w:numPr>
          <w:ilvl w:val="0"/>
          <w:numId w:val="62"/>
        </w:numPr>
        <w:ind w:left="1800"/>
      </w:pPr>
      <w:r w:rsidRPr="000A7FD1">
        <w:t xml:space="preserve">Key records are matched before a transaction </w:t>
      </w:r>
      <w:r w:rsidR="00B5591B" w:rsidRPr="000A7FD1">
        <w:t xml:space="preserve">or event </w:t>
      </w:r>
      <w:r w:rsidRPr="000A7FD1">
        <w:t>is approved (such as the matching of purchase order, receiving report, and vendor invoice records before an invoice is approved for payment).</w:t>
      </w:r>
    </w:p>
    <w:p w14:paraId="125FA1B4" w14:textId="77777777" w:rsidR="00B34356" w:rsidRPr="000A7FD1" w:rsidRDefault="00B34356" w:rsidP="000D1813">
      <w:pPr>
        <w:pStyle w:val="FAM-Bullet-1"/>
        <w:numPr>
          <w:ilvl w:val="0"/>
          <w:numId w:val="62"/>
        </w:numPr>
        <w:ind w:left="1800"/>
      </w:pPr>
      <w:r w:rsidRPr="000A7FD1">
        <w:t>Before acceptance, changes to data in existing files are independently approved, evidenced by either documentary or online approval of input before processing.</w:t>
      </w:r>
    </w:p>
    <w:p w14:paraId="79CB296A" w14:textId="77777777" w:rsidR="00B34356" w:rsidRPr="000A7FD1" w:rsidRDefault="00B34356" w:rsidP="004E3BDA">
      <w:pPr>
        <w:pStyle w:val="StyleHeading3FAM"/>
      </w:pPr>
      <w:r w:rsidRPr="000A7FD1">
        <w:t>Segregation of Duties</w:t>
      </w:r>
    </w:p>
    <w:p w14:paraId="0200BC1A" w14:textId="3940BFB3" w:rsidR="00B34356" w:rsidRPr="000A7FD1" w:rsidRDefault="00B34356" w:rsidP="004A102E">
      <w:pPr>
        <w:pStyle w:val="FAMSubsection"/>
      </w:pPr>
      <w:r w:rsidRPr="000A7FD1">
        <w:t xml:space="preserve">Segregation-of-duties controls are designed to reduce the opportunities for someone to both cause and conceal errors or fraud. Typically, an entity achieves adequate segregation of duties by establishing controls (such as segregating </w:t>
      </w:r>
      <w:r w:rsidRPr="000A7FD1">
        <w:lastRenderedPageBreak/>
        <w:t>asset custody from recordkeeping functions) to prevent any person from having uncontrolled access to both assets and records. See FAM 330.08 and 360.</w:t>
      </w:r>
      <w:r w:rsidR="00FB3FD0" w:rsidRPr="000A7FD1">
        <w:t>09</w:t>
      </w:r>
      <w:r w:rsidR="00CD5550" w:rsidRPr="000A7FD1">
        <w:t xml:space="preserve"> </w:t>
      </w:r>
      <w:r w:rsidR="00CB70CB" w:rsidRPr="000A7FD1">
        <w:t>through .</w:t>
      </w:r>
      <w:r w:rsidR="00CD5550" w:rsidRPr="000A7FD1">
        <w:t>1</w:t>
      </w:r>
      <w:r w:rsidR="00FB3FD0" w:rsidRPr="000A7FD1">
        <w:t>0</w:t>
      </w:r>
      <w:r w:rsidR="00CD5550" w:rsidRPr="000A7FD1">
        <w:t xml:space="preserve"> </w:t>
      </w:r>
      <w:r w:rsidRPr="000A7FD1">
        <w:t>for additional discussions of segregation-of-duties controls.</w:t>
      </w:r>
    </w:p>
    <w:p w14:paraId="713CD6D5" w14:textId="77777777" w:rsidR="00B34356" w:rsidRPr="000A7FD1" w:rsidRDefault="00B34356" w:rsidP="004E3BDA">
      <w:pPr>
        <w:pStyle w:val="StyleHeading3FAM"/>
      </w:pPr>
      <w:r w:rsidRPr="000A7FD1">
        <w:t>Design and Use of Documents and Records</w:t>
      </w:r>
    </w:p>
    <w:p w14:paraId="460A9BB9" w14:textId="77777777" w:rsidR="00B34356" w:rsidRPr="000A7FD1" w:rsidRDefault="00B34356" w:rsidP="004A102E">
      <w:pPr>
        <w:pStyle w:val="FAMSubsection"/>
      </w:pPr>
      <w:r w:rsidRPr="000A7FD1">
        <w:t>Controls over the design and use of records help provide reasonable assurance that transactions and events are recorded. Such controls typically include</w:t>
      </w:r>
      <w:r w:rsidR="006C7764" w:rsidRPr="000A7FD1">
        <w:t xml:space="preserve"> the following</w:t>
      </w:r>
      <w:r w:rsidRPr="000A7FD1">
        <w:t>:</w:t>
      </w:r>
    </w:p>
    <w:p w14:paraId="2004D9CE" w14:textId="77777777" w:rsidR="00B34356" w:rsidRPr="000A7FD1" w:rsidRDefault="00B34356" w:rsidP="000D1813">
      <w:pPr>
        <w:pStyle w:val="FAM-Bullet-1"/>
        <w:numPr>
          <w:ilvl w:val="0"/>
          <w:numId w:val="63"/>
        </w:numPr>
        <w:ind w:left="1800"/>
      </w:pPr>
      <w:r w:rsidRPr="000A7FD1">
        <w:t>Prenumbered forms are used to record all of an entity’s transactions, and accountability is maintained for the sequence of all numbers used. (For example, prenumbered billing documents, vouchers, purchase orders, etc., are accounted for in numerical sequence when they are used, and any numbers missing from the sequence are investigated</w:t>
      </w:r>
      <w:r w:rsidR="006C7764" w:rsidRPr="000A7FD1">
        <w:t>.</w:t>
      </w:r>
      <w:r w:rsidRPr="000A7FD1">
        <w:t>)</w:t>
      </w:r>
    </w:p>
    <w:p w14:paraId="75248641" w14:textId="77777777" w:rsidR="00B34356" w:rsidRPr="000A7FD1" w:rsidRDefault="00B34356" w:rsidP="000D1813">
      <w:pPr>
        <w:pStyle w:val="FAM-Bullet-1"/>
        <w:numPr>
          <w:ilvl w:val="0"/>
          <w:numId w:val="63"/>
        </w:numPr>
        <w:ind w:left="1800"/>
      </w:pPr>
      <w:r w:rsidRPr="000A7FD1">
        <w:t xml:space="preserve">Receiving reports, inspection documents, purchase orders, and other information </w:t>
      </w:r>
      <w:r w:rsidR="006C7764" w:rsidRPr="000A7FD1">
        <w:t xml:space="preserve">are </w:t>
      </w:r>
      <w:r w:rsidRPr="000A7FD1">
        <w:t>matched with billing notices, such as vendor invoices, or other documents used to record delivered orders and related liabilities to provide assurance that all and only valid transactions are recorded.</w:t>
      </w:r>
    </w:p>
    <w:p w14:paraId="153F6453" w14:textId="77777777" w:rsidR="00B34356" w:rsidRPr="000A7FD1" w:rsidRDefault="00B34356" w:rsidP="000D1813">
      <w:pPr>
        <w:pStyle w:val="FAM-Bullet-1"/>
        <w:numPr>
          <w:ilvl w:val="0"/>
          <w:numId w:val="63"/>
        </w:numPr>
        <w:ind w:left="1800"/>
      </w:pPr>
      <w:r w:rsidRPr="000A7FD1">
        <w:t>Transaction documents (such as vendor invoices or shipping documents) are stamped with the date and tracked (through periodic supervisory reviews) to provide assurance that transactions are recorded.</w:t>
      </w:r>
    </w:p>
    <w:p w14:paraId="3BF88F9B" w14:textId="77777777" w:rsidR="00B34356" w:rsidRPr="000A7FD1" w:rsidRDefault="00B34356" w:rsidP="000D1813">
      <w:pPr>
        <w:pStyle w:val="FAM-Bullet-1"/>
        <w:numPr>
          <w:ilvl w:val="0"/>
          <w:numId w:val="63"/>
        </w:numPr>
        <w:ind w:left="1800"/>
      </w:pPr>
      <w:r w:rsidRPr="000A7FD1">
        <w:t>Source documents are canceled after processing (for example, invoices are stamped, perforated, or written on after they are paid) to provide assurance that the same documents will not be reused and will not result in the entity recording transactions more than once. Also, only original documents are used to process transactions.</w:t>
      </w:r>
    </w:p>
    <w:p w14:paraId="49AA03C7" w14:textId="77777777" w:rsidR="00B34356" w:rsidRPr="000A7FD1" w:rsidRDefault="00B34356" w:rsidP="004E3BDA">
      <w:pPr>
        <w:pStyle w:val="StyleHeading3FAM"/>
      </w:pPr>
      <w:r w:rsidRPr="000A7FD1">
        <w:t>Safeguards over Access to and Use of Assets and Records</w:t>
      </w:r>
    </w:p>
    <w:p w14:paraId="1A5FB44C" w14:textId="77777777" w:rsidR="00B34356" w:rsidRPr="000A7FD1" w:rsidRDefault="00B34356" w:rsidP="004A102E">
      <w:pPr>
        <w:pStyle w:val="FAM-Subsection"/>
      </w:pPr>
      <w:r w:rsidRPr="000A7FD1">
        <w:t xml:space="preserve">Access controls are designed to protect assets and records against physical harm, theft, loss, misuse, or unauthorized alteration. These controls restrict </w:t>
      </w:r>
      <w:r w:rsidRPr="000A7FD1">
        <w:rPr>
          <w:b/>
        </w:rPr>
        <w:t xml:space="preserve">unauthorized </w:t>
      </w:r>
      <w:r w:rsidRPr="000A7FD1">
        <w:t xml:space="preserve">access to assets and records. The auditor should determine whether to evaluate segregation of duties of persons who have </w:t>
      </w:r>
      <w:r w:rsidRPr="000A7FD1">
        <w:rPr>
          <w:b/>
        </w:rPr>
        <w:t xml:space="preserve">authorized </w:t>
      </w:r>
      <w:r w:rsidRPr="000A7FD1">
        <w:t xml:space="preserve">access to assets and records </w:t>
      </w:r>
      <w:r w:rsidR="00146C9C" w:rsidRPr="000A7FD1">
        <w:t xml:space="preserve">based on </w:t>
      </w:r>
      <w:r w:rsidRPr="000A7FD1">
        <w:t>FAM 330.08. Typical access controls include</w:t>
      </w:r>
      <w:r w:rsidR="009849DE" w:rsidRPr="000A7FD1">
        <w:t xml:space="preserve"> the following</w:t>
      </w:r>
      <w:r w:rsidRPr="000A7FD1">
        <w:t>:</w:t>
      </w:r>
    </w:p>
    <w:p w14:paraId="64949AA1" w14:textId="77777777" w:rsidR="00B34356" w:rsidRPr="000A7FD1" w:rsidRDefault="00B34356" w:rsidP="000D1813">
      <w:pPr>
        <w:pStyle w:val="FAM-Bullet-1"/>
        <w:numPr>
          <w:ilvl w:val="0"/>
          <w:numId w:val="64"/>
        </w:numPr>
        <w:ind w:left="1800"/>
      </w:pPr>
      <w:r w:rsidRPr="000A7FD1">
        <w:t>Cash receipt totals are recorded before cash is deposited.</w:t>
      </w:r>
    </w:p>
    <w:p w14:paraId="33FCF638" w14:textId="04070D79" w:rsidR="00B34356" w:rsidRPr="000A7FD1" w:rsidRDefault="00B34356" w:rsidP="000D1813">
      <w:pPr>
        <w:pStyle w:val="FAM-Bullet-1"/>
        <w:numPr>
          <w:ilvl w:val="0"/>
          <w:numId w:val="64"/>
        </w:numPr>
        <w:ind w:left="1800"/>
      </w:pPr>
      <w:r w:rsidRPr="000A7FD1">
        <w:t xml:space="preserve">Secured facilities (locked rooms, fenced areas, vaults, etc.) are used. Access to critical forms and equipment (such as </w:t>
      </w:r>
      <w:r w:rsidR="002556D4" w:rsidRPr="000A7FD1">
        <w:t>check-</w:t>
      </w:r>
      <w:r w:rsidRPr="000A7FD1">
        <w:t>signing machines and signature stamps) is limited to authorized personnel.</w:t>
      </w:r>
    </w:p>
    <w:p w14:paraId="0A7E931F" w14:textId="77777777" w:rsidR="00B34356" w:rsidRPr="000A7FD1" w:rsidRDefault="00B34356" w:rsidP="000D1813">
      <w:pPr>
        <w:pStyle w:val="FAM-Bullet-1"/>
        <w:numPr>
          <w:ilvl w:val="0"/>
          <w:numId w:val="64"/>
        </w:numPr>
        <w:ind w:left="1800"/>
      </w:pPr>
      <w:r w:rsidRPr="000A7FD1">
        <w:t>Access to information system programs and data files is restricted to authorized personnel. (For example, manual records, computer terminals, and backup files are kept in secured areas to which only authorized persons can gain access. Access is restricted by logical access controls.)</w:t>
      </w:r>
    </w:p>
    <w:p w14:paraId="34DEB865" w14:textId="77777777" w:rsidR="00B34356" w:rsidRPr="000A7FD1" w:rsidRDefault="00B34356" w:rsidP="000D1813">
      <w:pPr>
        <w:pStyle w:val="FAM-Bullet-1"/>
        <w:numPr>
          <w:ilvl w:val="0"/>
          <w:numId w:val="64"/>
        </w:numPr>
        <w:ind w:left="1800"/>
      </w:pPr>
      <w:r w:rsidRPr="000A7FD1">
        <w:t>Assets and records are protected against physical harm. (For example, intruder alarms, security guards, fire walls, a sprinkler system, etc., are used to prevent intentional or accidental destruction of assets and records.)</w:t>
      </w:r>
    </w:p>
    <w:p w14:paraId="5F54D401" w14:textId="3B00176B" w:rsidR="00B34356" w:rsidRPr="000A7FD1" w:rsidRDefault="00B34356" w:rsidP="000D1813">
      <w:pPr>
        <w:pStyle w:val="FAM-Bullet-1"/>
        <w:numPr>
          <w:ilvl w:val="0"/>
          <w:numId w:val="64"/>
        </w:numPr>
        <w:ind w:left="1800"/>
      </w:pPr>
      <w:r w:rsidRPr="000A7FD1">
        <w:t xml:space="preserve">Incoming and outgoing assets are counted, inspected, and received or </w:t>
      </w:r>
      <w:r w:rsidR="00146C9C" w:rsidRPr="000A7FD1">
        <w:t>disposed/transferred/sold</w:t>
      </w:r>
      <w:r w:rsidRPr="000A7FD1">
        <w:t xml:space="preserve"> only bas</w:t>
      </w:r>
      <w:r w:rsidR="007A7F90" w:rsidRPr="000A7FD1">
        <w:t>ed</w:t>
      </w:r>
      <w:r w:rsidRPr="000A7FD1">
        <w:t xml:space="preserve"> o</w:t>
      </w:r>
      <w:r w:rsidR="007A7F90" w:rsidRPr="000A7FD1">
        <w:t>n</w:t>
      </w:r>
      <w:r w:rsidRPr="000A7FD1">
        <w:t xml:space="preserve"> proper authorization (such as a </w:t>
      </w:r>
      <w:r w:rsidRPr="000A7FD1">
        <w:lastRenderedPageBreak/>
        <w:t>purchase order, contract, or shipping order) in accordance with established procedures.</w:t>
      </w:r>
    </w:p>
    <w:p w14:paraId="545617FC" w14:textId="77777777" w:rsidR="00B34356" w:rsidRPr="000A7FD1" w:rsidRDefault="00B34356" w:rsidP="000D1813">
      <w:pPr>
        <w:pStyle w:val="FAM-Bullet-1"/>
        <w:numPr>
          <w:ilvl w:val="0"/>
          <w:numId w:val="64"/>
        </w:numPr>
        <w:ind w:left="1800"/>
      </w:pPr>
      <w:r w:rsidRPr="000A7FD1">
        <w:t xml:space="preserve">Procedures provide reasonable assurance that current files can be recovered in the event of a computer failure. (For example, the entity has implemented a backup and recovery plan, such as using on-premises or off-premises file backup, off-site storage of duplicate programs and operating procedures, and standby arrangements to use a second processing facility if the entire data center is destroyed.) </w:t>
      </w:r>
    </w:p>
    <w:p w14:paraId="05E2EE6D" w14:textId="77777777" w:rsidR="00B34356" w:rsidRPr="000A7FD1" w:rsidRDefault="00B34356" w:rsidP="000D1813">
      <w:pPr>
        <w:pStyle w:val="FAM-Bullet-1"/>
        <w:numPr>
          <w:ilvl w:val="0"/>
          <w:numId w:val="64"/>
        </w:numPr>
        <w:ind w:left="1800"/>
      </w:pPr>
      <w:r w:rsidRPr="000A7FD1">
        <w:t>Access to critical forms and records is restricted. (For example, secured conditions are established and maintained for manual records and media used to access assets, such as blank checks or forms for the release of inventory.)</w:t>
      </w:r>
    </w:p>
    <w:p w14:paraId="6DE170D6" w14:textId="77777777" w:rsidR="00B34356" w:rsidRPr="000A7FD1" w:rsidRDefault="00B34356" w:rsidP="004E3BDA">
      <w:pPr>
        <w:pStyle w:val="StyleHeading3FAM"/>
      </w:pPr>
      <w:r w:rsidRPr="000A7FD1">
        <w:t>Independent Checks</w:t>
      </w:r>
    </w:p>
    <w:p w14:paraId="7CB2A625" w14:textId="77777777" w:rsidR="00B34356" w:rsidRPr="000A7FD1" w:rsidRDefault="00B34356" w:rsidP="004A102E">
      <w:pPr>
        <w:pStyle w:val="FAMSubsection"/>
      </w:pPr>
      <w:r w:rsidRPr="000A7FD1">
        <w:t xml:space="preserve">Controls are designed to provide independent checks </w:t>
      </w:r>
      <w:r w:rsidR="007A314C" w:rsidRPr="000A7FD1">
        <w:t xml:space="preserve">of </w:t>
      </w:r>
      <w:r w:rsidRPr="000A7FD1">
        <w:t>the validity, accuracy, and completeness of processed data. Procedures that are typical of this category of controls include</w:t>
      </w:r>
      <w:r w:rsidR="007A314C" w:rsidRPr="000A7FD1">
        <w:t xml:space="preserve"> the following</w:t>
      </w:r>
      <w:r w:rsidRPr="000A7FD1">
        <w:t>:</w:t>
      </w:r>
    </w:p>
    <w:p w14:paraId="6C9CC290" w14:textId="0D8F2B48" w:rsidR="00B34356" w:rsidRPr="000A7FD1" w:rsidRDefault="00B34356" w:rsidP="000D1813">
      <w:pPr>
        <w:pStyle w:val="FAM-Bullet-1"/>
        <w:numPr>
          <w:ilvl w:val="0"/>
          <w:numId w:val="65"/>
        </w:numPr>
        <w:ind w:left="1800"/>
      </w:pPr>
      <w:r w:rsidRPr="000A7FD1">
        <w:t>Calculations, extensions, additions, and accounting classifications are independently reviewed. (For example, arithmetic on vouchers is independently re</w:t>
      </w:r>
      <w:r w:rsidR="001C35C6" w:rsidRPr="000A7FD1">
        <w:t>calculated</w:t>
      </w:r>
      <w:r w:rsidR="007A314C" w:rsidRPr="000A7FD1">
        <w:t>—</w:t>
      </w:r>
      <w:r w:rsidRPr="000A7FD1">
        <w:t>either manually or by computerized systems</w:t>
      </w:r>
      <w:r w:rsidR="007A314C" w:rsidRPr="000A7FD1">
        <w:t>—</w:t>
      </w:r>
      <w:r w:rsidRPr="000A7FD1">
        <w:t>and transactions and accounting classifications are subsequently reviewed.)</w:t>
      </w:r>
    </w:p>
    <w:p w14:paraId="54E10885" w14:textId="77777777" w:rsidR="00B34356" w:rsidRPr="000A7FD1" w:rsidRDefault="00B34356" w:rsidP="000D1813">
      <w:pPr>
        <w:pStyle w:val="FAM-Bullet-1"/>
        <w:numPr>
          <w:ilvl w:val="0"/>
          <w:numId w:val="65"/>
        </w:numPr>
        <w:ind w:left="1800"/>
      </w:pPr>
      <w:r w:rsidRPr="000A7FD1">
        <w:t xml:space="preserve">Assets on hand are periodically inspected and counted, and the results are compared with asset records. (For example, inventories are inspected and physically counted at the end of each year and compared with inventory records.) </w:t>
      </w:r>
    </w:p>
    <w:p w14:paraId="5810BA0B" w14:textId="77777777" w:rsidR="00B34356" w:rsidRPr="000A7FD1" w:rsidRDefault="00B34356" w:rsidP="000D1813">
      <w:pPr>
        <w:pStyle w:val="FAM-Bullet-1"/>
        <w:numPr>
          <w:ilvl w:val="0"/>
          <w:numId w:val="65"/>
        </w:numPr>
        <w:ind w:left="1800"/>
      </w:pPr>
      <w:r w:rsidRPr="000A7FD1">
        <w:t>Subsidiary ledgers and records are reconciled to general ledgers.</w:t>
      </w:r>
    </w:p>
    <w:p w14:paraId="14BE2F23" w14:textId="77777777" w:rsidR="00B34356" w:rsidRPr="000A7FD1" w:rsidRDefault="00B34356" w:rsidP="000D1813">
      <w:pPr>
        <w:pStyle w:val="FAM-Bullet-1"/>
        <w:numPr>
          <w:ilvl w:val="0"/>
          <w:numId w:val="65"/>
        </w:numPr>
        <w:ind w:left="1800"/>
      </w:pPr>
      <w:r w:rsidRPr="000A7FD1">
        <w:t>The entity promptly follows up on complaints from vendors, customers, employees, and others.</w:t>
      </w:r>
    </w:p>
    <w:p w14:paraId="5F22FDD9" w14:textId="77777777" w:rsidR="00B34356" w:rsidRPr="000A7FD1" w:rsidRDefault="00B34356" w:rsidP="000D1813">
      <w:pPr>
        <w:pStyle w:val="FAM-Bullet-1"/>
        <w:numPr>
          <w:ilvl w:val="0"/>
          <w:numId w:val="65"/>
        </w:numPr>
        <w:ind w:left="1800"/>
      </w:pPr>
      <w:r w:rsidRPr="000A7FD1">
        <w:t>Management reviews performance reports. (For example, the warehouse manager reviews performance reports on the accuracy and timeliness of fulfilling shipping orders and recording them in the sales processing system.)</w:t>
      </w:r>
    </w:p>
    <w:p w14:paraId="5C714725" w14:textId="77777777" w:rsidR="00B34356" w:rsidRPr="000A7FD1" w:rsidRDefault="00B34356" w:rsidP="000D1813">
      <w:pPr>
        <w:pStyle w:val="FAM-Bullet-1"/>
        <w:numPr>
          <w:ilvl w:val="0"/>
          <w:numId w:val="65"/>
        </w:numPr>
        <w:ind w:left="1800"/>
      </w:pPr>
      <w:r w:rsidRPr="000A7FD1">
        <w:t>Data from different sources are compared for accuracy and completeness. (For example, the cash journal entry is compared with the authenticated bank deposit slip and with the detailed listing of cash receipts prepared independently when mail was opened, and units billed are compared with units shipped.)</w:t>
      </w:r>
    </w:p>
    <w:p w14:paraId="00C34411" w14:textId="29863C4C" w:rsidR="00B34356" w:rsidRPr="000A7FD1" w:rsidRDefault="00B34356" w:rsidP="000D1813">
      <w:pPr>
        <w:pStyle w:val="FAM-Bullet-1"/>
        <w:numPr>
          <w:ilvl w:val="0"/>
          <w:numId w:val="65"/>
        </w:numPr>
        <w:ind w:left="1800"/>
      </w:pPr>
      <w:r w:rsidRPr="000A7FD1">
        <w:t>Actual operating results (such as personnel cost or capital expenditures for a particular organizational component or an entity as a whole) are compared with approved budgets, and variances are explained.</w:t>
      </w:r>
    </w:p>
    <w:p w14:paraId="5E16E9AF" w14:textId="77777777" w:rsidR="00B34356" w:rsidRPr="000A7FD1" w:rsidRDefault="00B34356" w:rsidP="004E3BDA">
      <w:pPr>
        <w:pStyle w:val="StyleHeading3FAM"/>
      </w:pPr>
      <w:r w:rsidRPr="000A7FD1">
        <w:t>Valuation</w:t>
      </w:r>
      <w:r w:rsidR="00B116BF" w:rsidRPr="000A7FD1">
        <w:t xml:space="preserve"> Controls</w:t>
      </w:r>
      <w:r w:rsidRPr="000A7FD1">
        <w:t xml:space="preserve"> of Recorded Amounts</w:t>
      </w:r>
    </w:p>
    <w:p w14:paraId="300FD08B" w14:textId="1D9C8D76" w:rsidR="00B34356" w:rsidRPr="000A7FD1" w:rsidRDefault="00B34356" w:rsidP="004A102E">
      <w:pPr>
        <w:pStyle w:val="FAMSubsection"/>
      </w:pPr>
      <w:r w:rsidRPr="000A7FD1">
        <w:t xml:space="preserve">Controls in this category are designed to provide </w:t>
      </w:r>
      <w:r w:rsidR="00703CF8" w:rsidRPr="000A7FD1">
        <w:t xml:space="preserve">reasonable </w:t>
      </w:r>
      <w:r w:rsidRPr="000A7FD1">
        <w:t>assurance that assets</w:t>
      </w:r>
      <w:r w:rsidR="00655996" w:rsidRPr="000A7FD1">
        <w:t xml:space="preserve">, liabilities, net position, budgetary resources, and projections in the sustainability </w:t>
      </w:r>
      <w:r w:rsidR="00AA56A4" w:rsidRPr="000A7FD1">
        <w:t xml:space="preserve">financial </w:t>
      </w:r>
      <w:r w:rsidR="00655996" w:rsidRPr="000A7FD1">
        <w:t>statements</w:t>
      </w:r>
      <w:r w:rsidRPr="000A7FD1">
        <w:t xml:space="preserve"> are </w:t>
      </w:r>
      <w:r w:rsidR="00476835" w:rsidRPr="000A7FD1">
        <w:t>included in the financial statements at</w:t>
      </w:r>
      <w:r w:rsidRPr="000A7FD1">
        <w:t xml:space="preserve"> appropriate amounts. Typical valuation controls are</w:t>
      </w:r>
      <w:r w:rsidR="008F241D" w:rsidRPr="000A7FD1">
        <w:t xml:space="preserve"> as follows</w:t>
      </w:r>
      <w:r w:rsidRPr="000A7FD1">
        <w:t>:</w:t>
      </w:r>
    </w:p>
    <w:p w14:paraId="69C02E00" w14:textId="19EBABAE" w:rsidR="00B34356" w:rsidRPr="000A7FD1" w:rsidRDefault="0026538B" w:rsidP="000D1813">
      <w:pPr>
        <w:pStyle w:val="FAM-Bullet-1"/>
        <w:numPr>
          <w:ilvl w:val="0"/>
          <w:numId w:val="66"/>
        </w:numPr>
        <w:ind w:left="1800"/>
      </w:pPr>
      <w:r w:rsidRPr="000A7FD1">
        <w:lastRenderedPageBreak/>
        <w:t>T</w:t>
      </w:r>
      <w:r w:rsidR="00B34356" w:rsidRPr="000A7FD1">
        <w:t>he condition and marketability of assets</w:t>
      </w:r>
      <w:r w:rsidRPr="000A7FD1">
        <w:t xml:space="preserve"> is periodically evaluated</w:t>
      </w:r>
      <w:r w:rsidR="00B34356" w:rsidRPr="000A7FD1">
        <w:t xml:space="preserve">. (For example, inventory is periodically reviewed for physical damage, deterioration, or obsolescence, or receivables are evaluated for </w:t>
      </w:r>
      <w:r w:rsidR="009F54E3" w:rsidRPr="000A7FD1">
        <w:t>collectability</w:t>
      </w:r>
      <w:r w:rsidR="00B34356" w:rsidRPr="000A7FD1">
        <w:t>.)</w:t>
      </w:r>
    </w:p>
    <w:p w14:paraId="0CB1971C" w14:textId="79C677D0" w:rsidR="00B34356" w:rsidRPr="000A7FD1" w:rsidRDefault="00B34356" w:rsidP="000D1813">
      <w:pPr>
        <w:pStyle w:val="FAM-Bullet-1"/>
        <w:numPr>
          <w:ilvl w:val="0"/>
          <w:numId w:val="66"/>
        </w:numPr>
        <w:ind w:left="1800"/>
      </w:pPr>
      <w:r w:rsidRPr="000A7FD1">
        <w:t>Recorded data are compared with information from an independent third party. (For example, recorded cash is reconciled to bank statements, and suppliers’ accounts are reconciled to monthly statements from suppliers.)</w:t>
      </w:r>
    </w:p>
    <w:p w14:paraId="5EF8F5CC" w14:textId="77777777" w:rsidR="00E841B0" w:rsidRPr="000A7FD1" w:rsidRDefault="00B34356" w:rsidP="000D1813">
      <w:pPr>
        <w:pStyle w:val="FAM-Bullet-1"/>
        <w:numPr>
          <w:ilvl w:val="0"/>
          <w:numId w:val="66"/>
        </w:numPr>
        <w:ind w:left="1800"/>
      </w:pPr>
      <w:r w:rsidRPr="000A7FD1">
        <w:t>Assessed values (such as independent appraisals of assets) are compared with the accounting records.</w:t>
      </w:r>
      <w:r w:rsidR="00E841B0" w:rsidRPr="000A7FD1">
        <w:t xml:space="preserve"> </w:t>
      </w:r>
    </w:p>
    <w:p w14:paraId="6CEEBEDD" w14:textId="0125F474" w:rsidR="00E841B0" w:rsidRPr="000A7FD1" w:rsidRDefault="00E841B0" w:rsidP="000D1813">
      <w:pPr>
        <w:pStyle w:val="FAM-Bullet-1"/>
        <w:numPr>
          <w:ilvl w:val="0"/>
          <w:numId w:val="66"/>
        </w:numPr>
        <w:ind w:left="1800"/>
      </w:pPr>
      <w:r w:rsidRPr="000A7FD1">
        <w:t>Budgetary balances are reconciled to audited proprietary balances. (For example, the receipt of goods or services, recorded as expenses in proprietary accounts, decreases undelivered orders balances in budgetary accounts</w:t>
      </w:r>
      <w:r w:rsidR="0026538B" w:rsidRPr="000A7FD1">
        <w:t>.</w:t>
      </w:r>
      <w:r w:rsidRPr="000A7FD1">
        <w:t>)</w:t>
      </w:r>
    </w:p>
    <w:p w14:paraId="13FED03C" w14:textId="1C7D5EC3" w:rsidR="00B34356" w:rsidRPr="000A7FD1" w:rsidRDefault="0036442C" w:rsidP="000D1813">
      <w:pPr>
        <w:pStyle w:val="FAM-Bullet-1"/>
        <w:numPr>
          <w:ilvl w:val="0"/>
          <w:numId w:val="66"/>
        </w:numPr>
        <w:ind w:left="1800"/>
      </w:pPr>
      <w:r w:rsidRPr="000A7FD1">
        <w:t xml:space="preserve">Methodologies, assumptions, and data used in deriving the </w:t>
      </w:r>
      <w:r w:rsidR="005B3148" w:rsidRPr="000A7FD1">
        <w:t xml:space="preserve">sustainability </w:t>
      </w:r>
      <w:r w:rsidR="00AA56A4" w:rsidRPr="000A7FD1">
        <w:t xml:space="preserve">financial </w:t>
      </w:r>
      <w:r w:rsidR="005B3148" w:rsidRPr="000A7FD1">
        <w:t xml:space="preserve">statements are reviewed </w:t>
      </w:r>
      <w:r w:rsidR="0088291B" w:rsidRPr="000A7FD1">
        <w:t>for reasonableness.</w:t>
      </w:r>
    </w:p>
    <w:p w14:paraId="31875714" w14:textId="77777777" w:rsidR="00B34356" w:rsidRPr="000A7FD1" w:rsidRDefault="00B34356" w:rsidP="004E3BDA">
      <w:pPr>
        <w:pStyle w:val="StyleHeading3FAM"/>
      </w:pPr>
      <w:r w:rsidRPr="000A7FD1">
        <w:t>Summarization of Accounting Data</w:t>
      </w:r>
    </w:p>
    <w:p w14:paraId="30246678" w14:textId="77777777" w:rsidR="00B34356" w:rsidRPr="000A7FD1" w:rsidRDefault="00B34356" w:rsidP="004A102E">
      <w:pPr>
        <w:pStyle w:val="FAMSubsection"/>
      </w:pPr>
      <w:r w:rsidRPr="000A7FD1">
        <w:t xml:space="preserve">Controls in this category are designed to provide </w:t>
      </w:r>
      <w:r w:rsidR="00703CF8" w:rsidRPr="000A7FD1">
        <w:t xml:space="preserve">reasonable </w:t>
      </w:r>
      <w:r w:rsidRPr="000A7FD1">
        <w:t>assurance that transactions are accurately summarized and that any adjustments are valid. Typical controls in this category include</w:t>
      </w:r>
      <w:r w:rsidR="00C96A44" w:rsidRPr="000A7FD1">
        <w:t xml:space="preserve"> the following</w:t>
      </w:r>
      <w:r w:rsidRPr="000A7FD1">
        <w:t>:</w:t>
      </w:r>
    </w:p>
    <w:p w14:paraId="7F7BD904" w14:textId="61A85085" w:rsidR="00B34356" w:rsidRPr="000A7FD1" w:rsidRDefault="00B34356" w:rsidP="000D1813">
      <w:pPr>
        <w:pStyle w:val="FAM-Bullet-1"/>
        <w:numPr>
          <w:ilvl w:val="0"/>
          <w:numId w:val="67"/>
        </w:numPr>
        <w:ind w:left="1800"/>
      </w:pPr>
      <w:r w:rsidRPr="000A7FD1">
        <w:t>The sources of summarized data (such as ledgers, journals, and other records) are compared with the underlying subsidiary records</w:t>
      </w:r>
      <w:r w:rsidR="000C4591" w:rsidRPr="000A7FD1">
        <w:t xml:space="preserve">, </w:t>
      </w:r>
      <w:r w:rsidRPr="000A7FD1">
        <w:t>documents</w:t>
      </w:r>
      <w:r w:rsidR="000C4591" w:rsidRPr="000A7FD1">
        <w:t>, or both</w:t>
      </w:r>
      <w:r w:rsidRPr="000A7FD1">
        <w:t xml:space="preserve"> before the data are accepted for inclusion in summarized records and reports. (For example, when F</w:t>
      </w:r>
      <w:r w:rsidR="0080118E" w:rsidRPr="000A7FD1">
        <w:t xml:space="preserve">und </w:t>
      </w:r>
      <w:r w:rsidRPr="000A7FD1">
        <w:t>B</w:t>
      </w:r>
      <w:r w:rsidR="0080118E" w:rsidRPr="000A7FD1">
        <w:t xml:space="preserve">alance with </w:t>
      </w:r>
      <w:r w:rsidRPr="000A7FD1">
        <w:t>T</w:t>
      </w:r>
      <w:r w:rsidR="0080118E" w:rsidRPr="000A7FD1">
        <w:t>reasury (FBWT)</w:t>
      </w:r>
      <w:r w:rsidRPr="000A7FD1">
        <w:t xml:space="preserve"> in the general ledger is reconciled to the balance from Treasury, any necessary journal entries are compared to source documents, and the summaries of journal entries are compared to the individual journal entries before the summarized entries are posted to the general ledger.)</w:t>
      </w:r>
    </w:p>
    <w:p w14:paraId="4D415CF9" w14:textId="3DF48455" w:rsidR="00B34356" w:rsidRPr="000A7FD1" w:rsidRDefault="00B34356" w:rsidP="000D1813">
      <w:pPr>
        <w:pStyle w:val="FAM-Bullet-1"/>
        <w:numPr>
          <w:ilvl w:val="0"/>
          <w:numId w:val="67"/>
        </w:numPr>
        <w:ind w:left="1800"/>
      </w:pPr>
      <w:r w:rsidRPr="000A7FD1">
        <w:t xml:space="preserve">Procedures are followed to check the completeness and accuracy of data summarization, and exceptions are reviewed and resolved by authorized persons. (For example, batch totals are compared with appropriate journals, hash totals are compared at the beginning and end of processing, and totals passed from one system or </w:t>
      </w:r>
      <w:r w:rsidR="00887CBB" w:rsidRPr="000A7FD1">
        <w:t>software program/</w:t>
      </w:r>
      <w:r w:rsidRPr="000A7FD1">
        <w:t>application to another are compared.)</w:t>
      </w:r>
    </w:p>
    <w:p w14:paraId="5F98934C" w14:textId="77777777" w:rsidR="00B34356" w:rsidRPr="000A7FD1" w:rsidRDefault="00B34356" w:rsidP="004E3BDA">
      <w:pPr>
        <w:pStyle w:val="StyleHeading3FAM"/>
      </w:pPr>
      <w:r w:rsidRPr="000A7FD1">
        <w:t>Rights and Obligations</w:t>
      </w:r>
      <w:r w:rsidR="00B116BF" w:rsidRPr="000A7FD1">
        <w:t xml:space="preserve"> Controls</w:t>
      </w:r>
    </w:p>
    <w:p w14:paraId="7B57B873" w14:textId="654181FF" w:rsidR="00B34356" w:rsidRPr="000A7FD1" w:rsidRDefault="00B34356" w:rsidP="004A102E">
      <w:pPr>
        <w:pStyle w:val="FAMSubsection"/>
      </w:pPr>
      <w:r w:rsidRPr="000A7FD1">
        <w:t xml:space="preserve">Controls in this category are designed to provide </w:t>
      </w:r>
      <w:r w:rsidR="00703CF8" w:rsidRPr="000A7FD1">
        <w:t xml:space="preserve">reasonable </w:t>
      </w:r>
      <w:r w:rsidRPr="000A7FD1">
        <w:t>assurance that (1) the entity owns recorded assets, with the ownership supported by appropriate documentation</w:t>
      </w:r>
      <w:r w:rsidR="00665E37" w:rsidRPr="000A7FD1">
        <w:t>;</w:t>
      </w:r>
      <w:r w:rsidR="00315B44" w:rsidRPr="000A7FD1">
        <w:t xml:space="preserve"> </w:t>
      </w:r>
      <w:r w:rsidRPr="000A7FD1">
        <w:t xml:space="preserve">(2) the entity </w:t>
      </w:r>
      <w:r w:rsidR="00B5591B" w:rsidRPr="000A7FD1">
        <w:t xml:space="preserve">holds or controls </w:t>
      </w:r>
      <w:r w:rsidRPr="000A7FD1">
        <w:t xml:space="preserve">the rights to its assets </w:t>
      </w:r>
      <w:r w:rsidR="00A96DB6" w:rsidRPr="000A7FD1">
        <w:t xml:space="preserve">and budgetary resources </w:t>
      </w:r>
      <w:r w:rsidRPr="000A7FD1">
        <w:t>at a given date</w:t>
      </w:r>
      <w:r w:rsidR="00665E37" w:rsidRPr="000A7FD1">
        <w:t>;</w:t>
      </w:r>
      <w:r w:rsidR="00315B44" w:rsidRPr="000A7FD1">
        <w:t xml:space="preserve"> </w:t>
      </w:r>
      <w:r w:rsidRPr="000A7FD1">
        <w:t>(3) recorded liabilities reflect the entity’s obligations at a given date</w:t>
      </w:r>
      <w:r w:rsidR="00665E37" w:rsidRPr="000A7FD1">
        <w:t>;</w:t>
      </w:r>
      <w:r w:rsidR="00FE67A2" w:rsidRPr="000A7FD1">
        <w:t xml:space="preserve"> and (4) budgetary ob</w:t>
      </w:r>
      <w:r w:rsidR="00A96DB6" w:rsidRPr="000A7FD1">
        <w:t>ligations pertain to the entity</w:t>
      </w:r>
      <w:r w:rsidR="00FE67A2" w:rsidRPr="000A7FD1">
        <w:t xml:space="preserve"> at a given date.</w:t>
      </w:r>
      <w:r w:rsidRPr="000A7FD1">
        <w:t xml:space="preserve"> Procedures that are typical of this category of controls include</w:t>
      </w:r>
      <w:r w:rsidR="005941F4" w:rsidRPr="000A7FD1">
        <w:t xml:space="preserve"> the following</w:t>
      </w:r>
      <w:r w:rsidRPr="000A7FD1">
        <w:t>:</w:t>
      </w:r>
    </w:p>
    <w:p w14:paraId="6F4C1EEB" w14:textId="77777777" w:rsidR="00B34356" w:rsidRPr="000A7FD1" w:rsidRDefault="00B34356" w:rsidP="000D1813">
      <w:pPr>
        <w:pStyle w:val="FAM-Bullet-1"/>
        <w:numPr>
          <w:ilvl w:val="0"/>
          <w:numId w:val="68"/>
        </w:numPr>
        <w:ind w:left="1800"/>
      </w:pPr>
      <w:r w:rsidRPr="000A7FD1">
        <w:t>Policies and procedures are documented (such as policy, procedures, and training manuals, together with organization charts) for initiating transactions and for identifying and monitoring those transactions and accounts warranting attention with respect to ownership.</w:t>
      </w:r>
    </w:p>
    <w:p w14:paraId="564B030C" w14:textId="77777777" w:rsidR="00B34356" w:rsidRPr="000A7FD1" w:rsidRDefault="00B34356" w:rsidP="000D1813">
      <w:pPr>
        <w:pStyle w:val="FAM-Bullet-1"/>
        <w:numPr>
          <w:ilvl w:val="0"/>
          <w:numId w:val="68"/>
        </w:numPr>
        <w:ind w:left="1800"/>
      </w:pPr>
      <w:r w:rsidRPr="000A7FD1">
        <w:lastRenderedPageBreak/>
        <w:t>Policies and procedures are documented for initiating and monitoring transactions and accounts related to obligations.</w:t>
      </w:r>
    </w:p>
    <w:p w14:paraId="16C0CFEF" w14:textId="77777777" w:rsidR="00B34356" w:rsidRPr="000A7FD1" w:rsidRDefault="00B34356" w:rsidP="000D1813">
      <w:pPr>
        <w:pStyle w:val="FAM-Bullet-1"/>
        <w:numPr>
          <w:ilvl w:val="0"/>
          <w:numId w:val="68"/>
        </w:numPr>
        <w:ind w:left="1800"/>
      </w:pPr>
      <w:r w:rsidRPr="000A7FD1">
        <w:t>Significant transactions require the approval of senior management.</w:t>
      </w:r>
    </w:p>
    <w:p w14:paraId="7DF5BEDD" w14:textId="77777777" w:rsidR="00B34356" w:rsidRPr="000A7FD1" w:rsidRDefault="00B34356" w:rsidP="000D1813">
      <w:pPr>
        <w:pStyle w:val="FAM-Bullet-1"/>
        <w:numPr>
          <w:ilvl w:val="0"/>
          <w:numId w:val="68"/>
        </w:numPr>
        <w:ind w:left="1800"/>
      </w:pPr>
      <w:r w:rsidRPr="000A7FD1">
        <w:t>Reported results and balances are compared with plans and authorizations.</w:t>
      </w:r>
    </w:p>
    <w:p w14:paraId="57A82995" w14:textId="77777777" w:rsidR="00B34356" w:rsidRPr="000A7FD1" w:rsidRDefault="00B34356" w:rsidP="004E3BDA">
      <w:pPr>
        <w:pStyle w:val="StyleHeading3FAM"/>
      </w:pPr>
      <w:r w:rsidRPr="000A7FD1">
        <w:t>Presentation and Disclosure</w:t>
      </w:r>
      <w:r w:rsidR="00B116BF" w:rsidRPr="000A7FD1">
        <w:t xml:space="preserve"> Controls</w:t>
      </w:r>
    </w:p>
    <w:p w14:paraId="6950185C" w14:textId="6A4F20C6" w:rsidR="00B34356" w:rsidRPr="000A7FD1" w:rsidRDefault="00B34356" w:rsidP="004A102E">
      <w:pPr>
        <w:pStyle w:val="FAMSubsection"/>
      </w:pPr>
      <w:r w:rsidRPr="000A7FD1">
        <w:t xml:space="preserve">Controls in this category are designed to provide </w:t>
      </w:r>
      <w:r w:rsidR="00703CF8" w:rsidRPr="000A7FD1">
        <w:t xml:space="preserve">reasonable </w:t>
      </w:r>
      <w:r w:rsidRPr="000A7FD1">
        <w:t xml:space="preserve">assurance that (1) </w:t>
      </w:r>
      <w:r w:rsidR="00B5591B" w:rsidRPr="000A7FD1">
        <w:t>financial and other information in the financial statements</w:t>
      </w:r>
      <w:r w:rsidR="001F72AC" w:rsidRPr="000A7FD1">
        <w:t xml:space="preserve"> </w:t>
      </w:r>
      <w:r w:rsidR="00FD5A78" w:rsidRPr="000A7FD1">
        <w:t>is</w:t>
      </w:r>
      <w:r w:rsidR="005F39AE" w:rsidRPr="000A7FD1">
        <w:t xml:space="preserve"> appropriately aggregated or disaggregated</w:t>
      </w:r>
      <w:r w:rsidRPr="000A7FD1">
        <w:t xml:space="preserve"> and </w:t>
      </w:r>
      <w:r w:rsidR="00E85164" w:rsidRPr="000A7FD1">
        <w:t xml:space="preserve">is </w:t>
      </w:r>
      <w:r w:rsidR="005F39AE" w:rsidRPr="000A7FD1">
        <w:t xml:space="preserve">clearly </w:t>
      </w:r>
      <w:r w:rsidRPr="000A7FD1">
        <w:t>described</w:t>
      </w:r>
      <w:r w:rsidR="00E85164" w:rsidRPr="000A7FD1">
        <w:t>,</w:t>
      </w:r>
      <w:r w:rsidRPr="000A7FD1">
        <w:t xml:space="preserve"> </w:t>
      </w:r>
      <w:r w:rsidR="003866A1" w:rsidRPr="000A7FD1">
        <w:t>(2) financial statement components are based on accounting principles that are applied consistently from period to period</w:t>
      </w:r>
      <w:r w:rsidR="00E85164" w:rsidRPr="000A7FD1">
        <w:t>,</w:t>
      </w:r>
      <w:r w:rsidR="003866A1" w:rsidRPr="000A7FD1">
        <w:t xml:space="preserve"> </w:t>
      </w:r>
      <w:r w:rsidRPr="000A7FD1">
        <w:t>(</w:t>
      </w:r>
      <w:r w:rsidR="003866A1" w:rsidRPr="000A7FD1">
        <w:t>3</w:t>
      </w:r>
      <w:r w:rsidRPr="000A7FD1">
        <w:t xml:space="preserve">) </w:t>
      </w:r>
      <w:r w:rsidR="005E3350" w:rsidRPr="000A7FD1">
        <w:t xml:space="preserve">note </w:t>
      </w:r>
      <w:r w:rsidR="008D4F8C" w:rsidRPr="000A7FD1">
        <w:t xml:space="preserve">disclosures are </w:t>
      </w:r>
      <w:r w:rsidR="000B79D8" w:rsidRPr="000A7FD1">
        <w:t xml:space="preserve">appropriately measured and described and </w:t>
      </w:r>
      <w:r w:rsidR="00E85164" w:rsidRPr="000A7FD1">
        <w:t xml:space="preserve">are </w:t>
      </w:r>
      <w:r w:rsidR="008D4F8C" w:rsidRPr="000A7FD1">
        <w:t xml:space="preserve">relevant and understandable in the context </w:t>
      </w:r>
      <w:r w:rsidR="00294529" w:rsidRPr="000A7FD1">
        <w:t>of the requirements of U.S. GAAP</w:t>
      </w:r>
      <w:r w:rsidR="00E85164" w:rsidRPr="000A7FD1">
        <w:t>,</w:t>
      </w:r>
      <w:r w:rsidR="003866A1" w:rsidRPr="000A7FD1">
        <w:t xml:space="preserve"> (4</w:t>
      </w:r>
      <w:r w:rsidR="008D4F8C" w:rsidRPr="000A7FD1">
        <w:t xml:space="preserve">) all </w:t>
      </w:r>
      <w:r w:rsidR="005E3350" w:rsidRPr="000A7FD1">
        <w:t xml:space="preserve">note </w:t>
      </w:r>
      <w:r w:rsidR="008D4F8C" w:rsidRPr="000A7FD1">
        <w:t>disclosures that should have been included in the financial statements have</w:t>
      </w:r>
      <w:r w:rsidR="003866A1" w:rsidRPr="000A7FD1">
        <w:t xml:space="preserve"> been included</w:t>
      </w:r>
      <w:r w:rsidR="00E85164" w:rsidRPr="000A7FD1">
        <w:t>,</w:t>
      </w:r>
      <w:r w:rsidR="003866A1" w:rsidRPr="000A7FD1">
        <w:t xml:space="preserve"> and (5</w:t>
      </w:r>
      <w:r w:rsidR="008D4F8C" w:rsidRPr="000A7FD1">
        <w:t>) disclosed transactions</w:t>
      </w:r>
      <w:r w:rsidR="00FD5A78" w:rsidRPr="000A7FD1">
        <w:t xml:space="preserve"> and </w:t>
      </w:r>
      <w:r w:rsidR="008D4F8C" w:rsidRPr="000A7FD1">
        <w:t>events have occurred and pertain to the entity</w:t>
      </w:r>
      <w:r w:rsidRPr="000A7FD1">
        <w:t>. Procedures that are typical of this category of controls include</w:t>
      </w:r>
      <w:r w:rsidR="000C6C92" w:rsidRPr="000A7FD1">
        <w:t xml:space="preserve"> the following</w:t>
      </w:r>
      <w:r w:rsidRPr="000A7FD1">
        <w:t>:</w:t>
      </w:r>
    </w:p>
    <w:p w14:paraId="40C37C74" w14:textId="77777777" w:rsidR="00B34356" w:rsidRPr="000A7FD1" w:rsidRDefault="00B34356" w:rsidP="000D1813">
      <w:pPr>
        <w:pStyle w:val="FAM-Bullet-1"/>
        <w:numPr>
          <w:ilvl w:val="0"/>
          <w:numId w:val="69"/>
        </w:numPr>
        <w:ind w:left="1800"/>
      </w:pPr>
      <w:r w:rsidRPr="000A7FD1">
        <w:t>Policies and procedures are documented for</w:t>
      </w:r>
      <w:r w:rsidR="00D039CD" w:rsidRPr="000A7FD1">
        <w:t xml:space="preserve"> the</w:t>
      </w:r>
      <w:r w:rsidRPr="000A7FD1">
        <w:t xml:space="preserve"> accumulating and disclosing </w:t>
      </w:r>
      <w:r w:rsidR="00D039CD" w:rsidRPr="000A7FD1">
        <w:t xml:space="preserve">of </w:t>
      </w:r>
      <w:r w:rsidRPr="000A7FD1">
        <w:t>financial information in the financial statements by appropriate personnel. Responsibility is assigned to specific individuals.</w:t>
      </w:r>
    </w:p>
    <w:p w14:paraId="268A51B9" w14:textId="77777777" w:rsidR="00B34356" w:rsidRPr="000A7FD1" w:rsidRDefault="00B34356" w:rsidP="000D1813">
      <w:pPr>
        <w:pStyle w:val="FAM-Bullet-1"/>
        <w:numPr>
          <w:ilvl w:val="0"/>
          <w:numId w:val="69"/>
        </w:numPr>
        <w:ind w:left="1800"/>
      </w:pPr>
      <w:r w:rsidRPr="000A7FD1">
        <w:t xml:space="preserve">Policies and procedures are documented for </w:t>
      </w:r>
      <w:r w:rsidR="00D039CD" w:rsidRPr="000A7FD1">
        <w:t xml:space="preserve">the preparation of </w:t>
      </w:r>
      <w:r w:rsidRPr="000A7FD1">
        <w:t>financial statements by authorized personnel having sufficient experience and expertise to comply with U.S. GAAP.</w:t>
      </w:r>
    </w:p>
    <w:p w14:paraId="236DE90C" w14:textId="77777777" w:rsidR="00B34356" w:rsidRPr="000A7FD1" w:rsidRDefault="00B34356" w:rsidP="000D1813">
      <w:pPr>
        <w:pStyle w:val="FAM-Bullet-1"/>
        <w:numPr>
          <w:ilvl w:val="0"/>
          <w:numId w:val="69"/>
        </w:numPr>
        <w:ind w:left="1800"/>
      </w:pPr>
      <w:r w:rsidRPr="000A7FD1">
        <w:t>Policies and procedures are documented (such as policy and procedures manuals, together with organization charts) for properly classifying and clearly describing financial information in the financial statements.</w:t>
      </w:r>
    </w:p>
    <w:p w14:paraId="4A9225BC" w14:textId="77777777" w:rsidR="00B34356" w:rsidRPr="000A7FD1" w:rsidRDefault="00B34356" w:rsidP="000D1813">
      <w:pPr>
        <w:pStyle w:val="FAM-Bullet-1"/>
        <w:numPr>
          <w:ilvl w:val="0"/>
          <w:numId w:val="69"/>
        </w:numPr>
        <w:ind w:left="1800"/>
      </w:pPr>
      <w:r w:rsidRPr="000A7FD1">
        <w:t>Reports are periodically compared with underlying documents and evaluated by supervisory personnel. Procedures are implemented to detect and correct misstatements and to evaluate recorded balances.</w:t>
      </w:r>
    </w:p>
    <w:p w14:paraId="63BE75DC" w14:textId="20075032" w:rsidR="00B34356" w:rsidRPr="000A7FD1" w:rsidRDefault="00B34356" w:rsidP="000D1813">
      <w:pPr>
        <w:pStyle w:val="FAM-Bullet-1"/>
        <w:numPr>
          <w:ilvl w:val="0"/>
          <w:numId w:val="69"/>
        </w:numPr>
        <w:ind w:left="1800"/>
      </w:pPr>
      <w:r w:rsidRPr="000A7FD1">
        <w:t xml:space="preserve">A written chart of accounts containing a description of each account is used, such as the </w:t>
      </w:r>
      <w:r w:rsidR="00502B31" w:rsidRPr="000A7FD1">
        <w:t>US</w:t>
      </w:r>
      <w:r w:rsidRPr="000A7FD1">
        <w:t>SGL. Journal entries are prepared, reviewed, compared with supporting details where necessary, and approved each accounting period, including year-end closing.</w:t>
      </w:r>
    </w:p>
    <w:p w14:paraId="1CBC6D96" w14:textId="77777777" w:rsidR="00B34356" w:rsidRPr="000A7FD1" w:rsidRDefault="00B34356" w:rsidP="000D1813">
      <w:pPr>
        <w:pStyle w:val="FAM-Bullet-1"/>
        <w:numPr>
          <w:ilvl w:val="0"/>
          <w:numId w:val="69"/>
        </w:numPr>
        <w:ind w:left="1800"/>
      </w:pPr>
      <w:r w:rsidRPr="000A7FD1">
        <w:t>Appropriate processing procedures are used, including control totals, batch totals, edit checks, or other computerized controls. Written cutoff and closing schedules are also used.</w:t>
      </w:r>
    </w:p>
    <w:p w14:paraId="03C4E638" w14:textId="77777777" w:rsidR="00257E11" w:rsidRPr="000A7FD1" w:rsidRDefault="00B34356" w:rsidP="000D1813">
      <w:pPr>
        <w:pStyle w:val="FAM-Bullet-1"/>
        <w:numPr>
          <w:ilvl w:val="0"/>
          <w:numId w:val="69"/>
        </w:numPr>
        <w:ind w:left="1800"/>
      </w:pPr>
      <w:r w:rsidRPr="000A7FD1">
        <w:t>The same chart of accounts is used for both budgeting and reporting, and variances between actual and planned results are analyzed.</w:t>
      </w:r>
      <w:r w:rsidR="00257E11" w:rsidRPr="000A7FD1">
        <w:br w:type="page"/>
      </w:r>
    </w:p>
    <w:p w14:paraId="33C093D6" w14:textId="77777777" w:rsidR="003B7FF9" w:rsidRPr="000A7FD1" w:rsidRDefault="003B7FF9" w:rsidP="00257E11">
      <w:pPr>
        <w:pStyle w:val="FAM-Bullet-1"/>
        <w:ind w:left="1800"/>
        <w:sectPr w:rsidR="003B7FF9" w:rsidRPr="000A7FD1" w:rsidSect="00666BFE">
          <w:headerReference w:type="even" r:id="rId49"/>
          <w:headerReference w:type="default" r:id="rId50"/>
          <w:footerReference w:type="even" r:id="rId51"/>
          <w:footerReference w:type="default" r:id="rId52"/>
          <w:headerReference w:type="first" r:id="rId53"/>
          <w:footerReference w:type="first" r:id="rId54"/>
          <w:endnotePr>
            <w:numFmt w:val="decimal"/>
          </w:endnotePr>
          <w:pgSz w:w="12240" w:h="15840"/>
          <w:pgMar w:top="1080" w:right="1440" w:bottom="1080" w:left="1080" w:header="720" w:footer="720" w:gutter="360"/>
          <w:pgNumType w:start="1"/>
          <w:cols w:space="720"/>
          <w:noEndnote/>
          <w:docGrid w:linePitch="326"/>
        </w:sectPr>
      </w:pPr>
    </w:p>
    <w:p w14:paraId="7DF459FF" w14:textId="77777777" w:rsidR="00C749C5" w:rsidRPr="000A7FD1" w:rsidRDefault="00C749C5" w:rsidP="00713125">
      <w:pPr>
        <w:pStyle w:val="Heading2FAM"/>
      </w:pPr>
      <w:r w:rsidRPr="000A7FD1">
        <w:lastRenderedPageBreak/>
        <w:t xml:space="preserve">395 D </w:t>
      </w:r>
      <w:r w:rsidR="004C25AA" w:rsidRPr="000A7FD1">
        <w:t>–</w:t>
      </w:r>
      <w:r w:rsidRPr="000A7FD1">
        <w:t xml:space="preserve"> Selected Statutes Relevant to Budget Execution</w:t>
      </w:r>
    </w:p>
    <w:p w14:paraId="222D8300" w14:textId="78A9441D" w:rsidR="00C749C5" w:rsidRPr="000A7FD1" w:rsidRDefault="00C749C5" w:rsidP="004B657E">
      <w:pPr>
        <w:pStyle w:val="FAM-Subsection"/>
        <w:numPr>
          <w:ilvl w:val="0"/>
          <w:numId w:val="14"/>
        </w:numPr>
      </w:pPr>
      <w:proofErr w:type="spellStart"/>
      <w:r w:rsidRPr="000A7FD1">
        <w:rPr>
          <w:b/>
          <w:u w:val="single"/>
        </w:rPr>
        <w:t>Antideficiency</w:t>
      </w:r>
      <w:proofErr w:type="spellEnd"/>
      <w:r w:rsidRPr="000A7FD1">
        <w:rPr>
          <w:b/>
          <w:u w:val="single"/>
        </w:rPr>
        <w:t xml:space="preserve"> Act:</w:t>
      </w:r>
      <w:r w:rsidRPr="000A7FD1">
        <w:t xml:space="preserve"> This statute places limitations on the obligation and expenditure of government funds. Expenditures and obligations may not exceed the amounts available in the related appropriation or fund accounts. Unless </w:t>
      </w:r>
      <w:r w:rsidR="00BF4307" w:rsidRPr="000A7FD1">
        <w:t xml:space="preserve">expressly </w:t>
      </w:r>
      <w:r w:rsidRPr="000A7FD1">
        <w:t>allowed by law, amounts may not be obligated before they are appropriated. Additionally, the amount of obligations and expenditures may not exceed the amount o</w:t>
      </w:r>
      <w:r w:rsidR="00CC4372" w:rsidRPr="000A7FD1">
        <w:t xml:space="preserve">f the apportionments received. </w:t>
      </w:r>
      <w:r w:rsidRPr="000A7FD1">
        <w:t xml:space="preserve">(See 31 U.S.C. </w:t>
      </w:r>
      <w:r w:rsidR="000C4591" w:rsidRPr="000A7FD1">
        <w:t>§§</w:t>
      </w:r>
      <w:r w:rsidRPr="000A7FD1">
        <w:t xml:space="preserve"> 1341-1342, 1351, and 1517 for further information.) Also, see FAM 803.</w:t>
      </w:r>
    </w:p>
    <w:p w14:paraId="4707581D" w14:textId="6BEEA7BF" w:rsidR="00C749C5" w:rsidRPr="000A7FD1" w:rsidRDefault="00C749C5" w:rsidP="004A102E">
      <w:pPr>
        <w:pStyle w:val="FAM-Subsection"/>
      </w:pPr>
      <w:r w:rsidRPr="000A7FD1">
        <w:rPr>
          <w:b/>
          <w:u w:val="single"/>
        </w:rPr>
        <w:t>Purpose statute</w:t>
      </w:r>
      <w:r w:rsidRPr="000A7FD1">
        <w:rPr>
          <w:b/>
        </w:rPr>
        <w:t>:</w:t>
      </w:r>
      <w:r w:rsidRPr="000A7FD1">
        <w:t xml:space="preserve"> This statute states that appropriations may be obligated and expended only for the purposes stated in the appropriation. (See 31 U.S.C. </w:t>
      </w:r>
      <w:r w:rsidR="000C4591" w:rsidRPr="000A7FD1">
        <w:t xml:space="preserve">§ </w:t>
      </w:r>
      <w:r w:rsidRPr="000A7FD1">
        <w:t>1301 for further information.)</w:t>
      </w:r>
    </w:p>
    <w:p w14:paraId="7FCC2474" w14:textId="543F8E0F" w:rsidR="00C749C5" w:rsidRPr="000A7FD1" w:rsidRDefault="00C749C5" w:rsidP="004A102E">
      <w:pPr>
        <w:pStyle w:val="FAM-Subsection"/>
      </w:pPr>
      <w:r w:rsidRPr="000A7FD1">
        <w:rPr>
          <w:b/>
          <w:u w:val="single"/>
        </w:rPr>
        <w:t>Time statute</w:t>
      </w:r>
      <w:r w:rsidRPr="000A7FD1">
        <w:rPr>
          <w:b/>
        </w:rPr>
        <w:t>:</w:t>
      </w:r>
      <w:r w:rsidRPr="000A7FD1">
        <w:t xml:space="preserve"> This statute states that appropriations may be obligated or expended only during the period of availability specified by law. (See 31 U.S.C. </w:t>
      </w:r>
      <w:r w:rsidR="000C4591" w:rsidRPr="000A7FD1">
        <w:t>§</w:t>
      </w:r>
      <w:r w:rsidRPr="000A7FD1">
        <w:t xml:space="preserve">1502 for further information.) </w:t>
      </w:r>
    </w:p>
    <w:p w14:paraId="559F60C3" w14:textId="77777777" w:rsidR="008B6636" w:rsidRPr="000A7FD1" w:rsidRDefault="008B6636" w:rsidP="008B6636">
      <w:pPr>
        <w:pStyle w:val="FAM-Continuation1"/>
      </w:pPr>
      <w:r w:rsidRPr="000A7FD1">
        <w:t xml:space="preserve">One-year (annual) or multiple-year (multiyear) appropriations often are referred to as </w:t>
      </w:r>
      <w:r w:rsidRPr="000A7FD1">
        <w:rPr>
          <w:b/>
        </w:rPr>
        <w:t>fixed accounts</w:t>
      </w:r>
      <w:r w:rsidRPr="000A7FD1">
        <w:t xml:space="preserve">. These accounts are available for obligation for a definite period of time. Multiple-year appropriations may also cover periods different than the fiscal year, such as July 1 of one fiscal year through September 30 of the next fiscal year—a period of 15 months. This type of multiple-year authority is sometimes referred to as </w:t>
      </w:r>
      <w:r w:rsidRPr="000A7FD1">
        <w:rPr>
          <w:b/>
        </w:rPr>
        <w:t>forward funding</w:t>
      </w:r>
      <w:r w:rsidRPr="000A7FD1">
        <w:t>.</w:t>
      </w:r>
    </w:p>
    <w:p w14:paraId="5E5004F6" w14:textId="77777777" w:rsidR="008B6636" w:rsidRPr="000A7FD1" w:rsidRDefault="008B6636" w:rsidP="008B6636">
      <w:pPr>
        <w:pStyle w:val="FAM-Continuation1"/>
      </w:pPr>
      <w:r w:rsidRPr="000A7FD1">
        <w:rPr>
          <w:b/>
        </w:rPr>
        <w:t>No-year</w:t>
      </w:r>
      <w:r w:rsidRPr="000A7FD1">
        <w:t xml:space="preserve"> authority or accounts are budgetary resources that are available for obligation for an indefinite period of time, usually until the purposes for which they were provided are carried out. A no-year appropriation is usually identified by words of futurity such as “to remain available until expended.”</w:t>
      </w:r>
    </w:p>
    <w:p w14:paraId="3EDB2F54" w14:textId="77777777" w:rsidR="009075CD" w:rsidRPr="000A7FD1" w:rsidRDefault="008B6636" w:rsidP="008B6636">
      <w:pPr>
        <w:pStyle w:val="FAM-Subsection"/>
      </w:pPr>
      <w:r w:rsidRPr="000A7FD1">
        <w:rPr>
          <w:b/>
          <w:u w:val="single"/>
        </w:rPr>
        <w:t>Appropriation acts</w:t>
      </w:r>
      <w:r w:rsidRPr="000A7FD1">
        <w:rPr>
          <w:b/>
        </w:rPr>
        <w:t>:</w:t>
      </w:r>
      <w:r w:rsidRPr="000A7FD1">
        <w:t xml:space="preserve"> The entity’s appropriations may contain other budgetary restrictions on the appropriations provided. </w:t>
      </w:r>
    </w:p>
    <w:p w14:paraId="79B37ACF" w14:textId="77777777" w:rsidR="00257E11" w:rsidRPr="000A7FD1" w:rsidRDefault="00257E11" w:rsidP="008B6636">
      <w:pPr>
        <w:pStyle w:val="FAM-Subsection"/>
      </w:pPr>
      <w:r w:rsidRPr="000A7FD1">
        <w:br w:type="page"/>
      </w:r>
    </w:p>
    <w:p w14:paraId="757B5A78" w14:textId="77777777" w:rsidR="00257E11" w:rsidRPr="000A7FD1" w:rsidRDefault="00257E11" w:rsidP="00257E11">
      <w:pPr>
        <w:pStyle w:val="FAM-Subsection"/>
        <w:numPr>
          <w:ilvl w:val="0"/>
          <w:numId w:val="0"/>
        </w:numPr>
        <w:ind w:left="720"/>
        <w:sectPr w:rsidR="00257E11" w:rsidRPr="000A7FD1" w:rsidSect="00666BFE">
          <w:headerReference w:type="default" r:id="rId55"/>
          <w:footerReference w:type="default" r:id="rId56"/>
          <w:endnotePr>
            <w:numFmt w:val="decimal"/>
          </w:endnotePr>
          <w:pgSz w:w="12240" w:h="15840"/>
          <w:pgMar w:top="1080" w:right="1440" w:bottom="1080" w:left="1080" w:header="720" w:footer="720" w:gutter="360"/>
          <w:pgNumType w:start="1"/>
          <w:cols w:space="720"/>
          <w:noEndnote/>
          <w:docGrid w:linePitch="326"/>
        </w:sectPr>
      </w:pPr>
    </w:p>
    <w:p w14:paraId="184AB6CA" w14:textId="77777777" w:rsidR="009075CD" w:rsidRPr="000A7FD1" w:rsidRDefault="009075CD" w:rsidP="00713125">
      <w:pPr>
        <w:pStyle w:val="Heading2FAM"/>
      </w:pPr>
      <w:r w:rsidRPr="000A7FD1">
        <w:lastRenderedPageBreak/>
        <w:t xml:space="preserve">395 E </w:t>
      </w:r>
      <w:r w:rsidR="004C25AA" w:rsidRPr="000A7FD1">
        <w:t>–</w:t>
      </w:r>
      <w:r w:rsidRPr="000A7FD1">
        <w:t xml:space="preserve"> Budget Execution Process</w:t>
      </w:r>
    </w:p>
    <w:p w14:paraId="05532D57" w14:textId="77777777" w:rsidR="00395524" w:rsidRPr="000A7FD1" w:rsidRDefault="009075CD" w:rsidP="000D1813">
      <w:pPr>
        <w:pStyle w:val="FAM-Subsection"/>
        <w:numPr>
          <w:ilvl w:val="0"/>
          <w:numId w:val="32"/>
        </w:numPr>
      </w:pPr>
      <w:r w:rsidRPr="000A7FD1">
        <w:t>The steps of a simplified budget process are illustrated in the following table.</w:t>
      </w:r>
    </w:p>
    <w:tbl>
      <w:tblPr>
        <w:tblW w:w="7524" w:type="dxa"/>
        <w:tblInd w:w="1560" w:type="dxa"/>
        <w:tblLayout w:type="fixed"/>
        <w:tblCellMar>
          <w:top w:w="144" w:type="dxa"/>
          <w:left w:w="120" w:type="dxa"/>
          <w:bottom w:w="144" w:type="dxa"/>
          <w:right w:w="120" w:type="dxa"/>
        </w:tblCellMar>
        <w:tblLook w:val="0000" w:firstRow="0" w:lastRow="0" w:firstColumn="0" w:lastColumn="0" w:noHBand="0" w:noVBand="0"/>
      </w:tblPr>
      <w:tblGrid>
        <w:gridCol w:w="2250"/>
        <w:gridCol w:w="2970"/>
        <w:gridCol w:w="2304"/>
      </w:tblGrid>
      <w:tr w:rsidR="009075CD" w:rsidRPr="000A7FD1" w14:paraId="1558DF02" w14:textId="77777777" w:rsidTr="004E3BDA">
        <w:tc>
          <w:tcPr>
            <w:tcW w:w="2250" w:type="dxa"/>
            <w:tcBorders>
              <w:top w:val="double" w:sz="4" w:space="0" w:color="auto"/>
              <w:left w:val="double" w:sz="4" w:space="0" w:color="auto"/>
              <w:bottom w:val="double" w:sz="4" w:space="0" w:color="auto"/>
              <w:right w:val="single" w:sz="8" w:space="0" w:color="000000"/>
            </w:tcBorders>
            <w:vAlign w:val="bottom"/>
          </w:tcPr>
          <w:p w14:paraId="62FF20CB" w14:textId="77777777" w:rsidR="009075CD" w:rsidRPr="000A7FD1" w:rsidRDefault="009075CD" w:rsidP="0053611F">
            <w:pPr>
              <w:pStyle w:val="Table-Head-Center"/>
            </w:pPr>
            <w:r w:rsidRPr="000A7FD1">
              <w:t>General phases</w:t>
            </w:r>
          </w:p>
        </w:tc>
        <w:tc>
          <w:tcPr>
            <w:tcW w:w="2970" w:type="dxa"/>
            <w:tcBorders>
              <w:top w:val="double" w:sz="4" w:space="0" w:color="auto"/>
              <w:left w:val="single" w:sz="8" w:space="0" w:color="000000"/>
              <w:bottom w:val="double" w:sz="4" w:space="0" w:color="auto"/>
              <w:right w:val="single" w:sz="8" w:space="0" w:color="000000"/>
            </w:tcBorders>
            <w:vAlign w:val="bottom"/>
          </w:tcPr>
          <w:p w14:paraId="709A02CE" w14:textId="77777777" w:rsidR="009075CD" w:rsidRPr="000A7FD1" w:rsidRDefault="009075CD" w:rsidP="0053611F">
            <w:pPr>
              <w:pStyle w:val="Table-Head-Center"/>
            </w:pPr>
            <w:r w:rsidRPr="000A7FD1">
              <w:t>Events</w:t>
            </w:r>
          </w:p>
        </w:tc>
        <w:tc>
          <w:tcPr>
            <w:tcW w:w="2304" w:type="dxa"/>
            <w:tcBorders>
              <w:top w:val="double" w:sz="4" w:space="0" w:color="auto"/>
              <w:left w:val="single" w:sz="8" w:space="0" w:color="000000"/>
              <w:bottom w:val="double" w:sz="4" w:space="0" w:color="auto"/>
              <w:right w:val="double" w:sz="4" w:space="0" w:color="auto"/>
            </w:tcBorders>
            <w:vAlign w:val="bottom"/>
          </w:tcPr>
          <w:p w14:paraId="5F6A8ABA" w14:textId="77777777" w:rsidR="009075CD" w:rsidRPr="000A7FD1" w:rsidRDefault="009075CD" w:rsidP="0053611F">
            <w:pPr>
              <w:pStyle w:val="Table-Head-Center"/>
            </w:pPr>
            <w:r w:rsidRPr="000A7FD1">
              <w:t>Accounting recognition</w:t>
            </w:r>
          </w:p>
        </w:tc>
      </w:tr>
      <w:tr w:rsidR="009075CD" w:rsidRPr="000A7FD1" w14:paraId="05EF1023" w14:textId="77777777" w:rsidTr="004E3BDA">
        <w:tc>
          <w:tcPr>
            <w:tcW w:w="2250" w:type="dxa"/>
            <w:tcBorders>
              <w:top w:val="double" w:sz="4" w:space="0" w:color="auto"/>
              <w:left w:val="double" w:sz="4" w:space="0" w:color="auto"/>
              <w:bottom w:val="single" w:sz="7" w:space="0" w:color="000000"/>
              <w:right w:val="single" w:sz="8" w:space="0" w:color="000000"/>
            </w:tcBorders>
          </w:tcPr>
          <w:p w14:paraId="0D70169D" w14:textId="77777777" w:rsidR="009075CD" w:rsidRPr="000A7FD1" w:rsidRDefault="009075CD" w:rsidP="004E3BDA">
            <w:pPr>
              <w:pStyle w:val="Table-Cell-Center"/>
              <w:spacing w:before="60" w:after="60"/>
            </w:pPr>
            <w:r w:rsidRPr="000A7FD1">
              <w:t>Formulation</w:t>
            </w:r>
          </w:p>
        </w:tc>
        <w:tc>
          <w:tcPr>
            <w:tcW w:w="2970" w:type="dxa"/>
            <w:tcBorders>
              <w:top w:val="double" w:sz="4" w:space="0" w:color="auto"/>
              <w:left w:val="single" w:sz="8" w:space="0" w:color="000000"/>
              <w:bottom w:val="single" w:sz="7" w:space="0" w:color="000000"/>
              <w:right w:val="single" w:sz="8" w:space="0" w:color="000000"/>
            </w:tcBorders>
          </w:tcPr>
          <w:p w14:paraId="20203212" w14:textId="77777777" w:rsidR="009075CD" w:rsidRPr="000A7FD1" w:rsidRDefault="009075CD" w:rsidP="004E3BDA">
            <w:pPr>
              <w:pStyle w:val="Table-Cell-Center"/>
              <w:spacing w:before="60" w:after="60"/>
            </w:pPr>
            <w:r w:rsidRPr="000A7FD1">
              <w:t>Budget submission</w:t>
            </w:r>
          </w:p>
        </w:tc>
        <w:tc>
          <w:tcPr>
            <w:tcW w:w="2304" w:type="dxa"/>
            <w:tcBorders>
              <w:top w:val="double" w:sz="4" w:space="0" w:color="auto"/>
              <w:left w:val="single" w:sz="8" w:space="0" w:color="000000"/>
              <w:bottom w:val="single" w:sz="7" w:space="0" w:color="000000"/>
              <w:right w:val="double" w:sz="4" w:space="0" w:color="auto"/>
            </w:tcBorders>
          </w:tcPr>
          <w:p w14:paraId="0E2D9663" w14:textId="77777777" w:rsidR="009075CD" w:rsidRPr="000A7FD1" w:rsidRDefault="009075CD" w:rsidP="004E3BDA">
            <w:pPr>
              <w:pStyle w:val="Table-Cell-Center"/>
              <w:spacing w:before="60" w:after="60"/>
            </w:pPr>
            <w:r w:rsidRPr="000A7FD1">
              <w:t>None</w:t>
            </w:r>
          </w:p>
        </w:tc>
      </w:tr>
      <w:tr w:rsidR="009075CD" w:rsidRPr="000A7FD1" w14:paraId="63F96FC1" w14:textId="77777777" w:rsidTr="004E3BDA">
        <w:tc>
          <w:tcPr>
            <w:tcW w:w="2250" w:type="dxa"/>
            <w:tcBorders>
              <w:top w:val="single" w:sz="7" w:space="0" w:color="000000"/>
              <w:left w:val="double" w:sz="4" w:space="0" w:color="auto"/>
              <w:bottom w:val="single" w:sz="7" w:space="0" w:color="000000"/>
              <w:right w:val="single" w:sz="8" w:space="0" w:color="000000"/>
            </w:tcBorders>
          </w:tcPr>
          <w:p w14:paraId="3F4ABCB9" w14:textId="77777777" w:rsidR="009075CD" w:rsidRPr="000A7FD1" w:rsidRDefault="009075CD" w:rsidP="004E3BDA">
            <w:pPr>
              <w:pStyle w:val="Table-Cell-Center"/>
              <w:spacing w:before="60" w:after="60"/>
            </w:pPr>
            <w:r w:rsidRPr="000A7FD1">
              <w:t>Approval</w:t>
            </w:r>
          </w:p>
        </w:tc>
        <w:tc>
          <w:tcPr>
            <w:tcW w:w="2970" w:type="dxa"/>
            <w:tcBorders>
              <w:top w:val="single" w:sz="7" w:space="0" w:color="000000"/>
              <w:left w:val="single" w:sz="8" w:space="0" w:color="000000"/>
              <w:bottom w:val="single" w:sz="7" w:space="0" w:color="000000"/>
              <w:right w:val="single" w:sz="8" w:space="0" w:color="000000"/>
            </w:tcBorders>
          </w:tcPr>
          <w:p w14:paraId="3136CCEA" w14:textId="77777777" w:rsidR="009075CD" w:rsidRPr="000A7FD1" w:rsidRDefault="009075CD" w:rsidP="004E3BDA">
            <w:pPr>
              <w:pStyle w:val="Table-Cell-Center"/>
              <w:spacing w:before="60" w:after="60"/>
            </w:pPr>
            <w:r w:rsidRPr="000A7FD1">
              <w:t>Granting budget authority</w:t>
            </w:r>
          </w:p>
        </w:tc>
        <w:tc>
          <w:tcPr>
            <w:tcW w:w="2304" w:type="dxa"/>
            <w:tcBorders>
              <w:top w:val="single" w:sz="7" w:space="0" w:color="000000"/>
              <w:left w:val="single" w:sz="8" w:space="0" w:color="000000"/>
              <w:bottom w:val="single" w:sz="7" w:space="0" w:color="000000"/>
              <w:right w:val="double" w:sz="4" w:space="0" w:color="auto"/>
            </w:tcBorders>
          </w:tcPr>
          <w:p w14:paraId="1E600055" w14:textId="77777777" w:rsidR="009075CD" w:rsidRPr="000A7FD1" w:rsidRDefault="009075CD" w:rsidP="004E3BDA">
            <w:pPr>
              <w:pStyle w:val="Table-Cell-Center"/>
              <w:spacing w:before="60" w:after="60"/>
            </w:pPr>
            <w:r w:rsidRPr="000A7FD1">
              <w:t>Appropriations</w:t>
            </w:r>
          </w:p>
        </w:tc>
      </w:tr>
      <w:tr w:rsidR="009075CD" w:rsidRPr="000A7FD1" w14:paraId="2866401A" w14:textId="77777777" w:rsidTr="004E3BDA">
        <w:trPr>
          <w:cantSplit/>
        </w:trPr>
        <w:tc>
          <w:tcPr>
            <w:tcW w:w="2250" w:type="dxa"/>
            <w:vMerge w:val="restart"/>
            <w:tcBorders>
              <w:top w:val="single" w:sz="7" w:space="0" w:color="000000"/>
              <w:left w:val="double" w:sz="4" w:space="0" w:color="auto"/>
              <w:right w:val="single" w:sz="8" w:space="0" w:color="000000"/>
            </w:tcBorders>
          </w:tcPr>
          <w:p w14:paraId="734125C3" w14:textId="77777777" w:rsidR="009075CD" w:rsidRPr="000A7FD1" w:rsidRDefault="009075CD" w:rsidP="004E3BDA">
            <w:pPr>
              <w:pStyle w:val="Table-Cell-Center"/>
              <w:spacing w:before="60" w:after="60"/>
            </w:pPr>
            <w:r w:rsidRPr="000A7FD1">
              <w:t>Execution</w:t>
            </w:r>
          </w:p>
          <w:p w14:paraId="2552A433" w14:textId="77777777" w:rsidR="009075CD" w:rsidRPr="000A7FD1" w:rsidRDefault="009F54E3" w:rsidP="004E3BDA">
            <w:pPr>
              <w:spacing w:before="60" w:after="60"/>
              <w:jc w:val="center"/>
            </w:pPr>
            <w:r w:rsidRPr="000A7FD1">
              <w:rPr>
                <w:noProof/>
              </w:rPr>
              <mc:AlternateContent>
                <mc:Choice Requires="wps">
                  <w:drawing>
                    <wp:anchor distT="0" distB="0" distL="114300" distR="114300" simplePos="0" relativeHeight="251660288" behindDoc="0" locked="0" layoutInCell="1" allowOverlap="1" wp14:anchorId="328E9509" wp14:editId="22F83D2F">
                      <wp:simplePos x="0" y="0"/>
                      <wp:positionH relativeFrom="column">
                        <wp:posOffset>594360</wp:posOffset>
                      </wp:positionH>
                      <wp:positionV relativeFrom="paragraph">
                        <wp:posOffset>56134</wp:posOffset>
                      </wp:positionV>
                      <wp:extent cx="0" cy="2913888"/>
                      <wp:effectExtent l="76200" t="0" r="57150" b="58420"/>
                      <wp:wrapNone/>
                      <wp:docPr id="5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1388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77BD09" id="Line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8pt,4.4pt" to="46.8pt,23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YxTKAIAAEsEAAAOAAAAZHJzL2Uyb0RvYy54bWysVMGO2jAQvVfqP1i+QxI2sBARVlUCvWy7&#10;SLv9AGM7xKpjW7YhoKr/3rEDtLSXqioHM7Zn3rx5M87y6dRJdOTWCa1KnI1TjLiimgm1L/GXt81o&#10;jpHzRDEiteIlPnOHn1bv3y17U/CJbrVk3CIAUa7oTYlb702RJI62vCNurA1XcNlo2xEPW7tPmCU9&#10;oHcymaTpLOm1ZcZqyp2D03q4xKuI3zSc+pemcdwjWWLg5uNq47oLa7JakmJviWkFvdAg/8CiI0JB&#10;0htUTTxBByv+gOoEtdrpxo+p7hLdNILyWANUk6W/VfPaEsNjLSCOMzeZ3P+DpZ+PW4sEK/H0ESNF&#10;OujRs1AczYI0vXEFeFRqa0Nx9KRezbOmXx1SumqJ2vNI8e1sICwLEcldSNg4Awl2/SfNwIccvI46&#10;nRrbBUhQAJ1iO863dvCTR3Q4pHA6WWQP8/k8opPiGmis8x+57lAwSiyBcwQmx2fnAxFSXF1CHqU3&#10;QsrYbalQX+LFdDKNAU5LwcJlcHN2v6ukRUcS5iX+Lnnv3Kw+KBbBWk7Y+mJ7IiTYyEc5vBUgkOQ4&#10;ZOs4w0hyeCLBGuhJFTJCsUD4Yg0j822RLtbz9Twf5ZPZepSndT36sKny0WyTPU7rh7qq6ux7IJ/l&#10;RSsY4yrwv45vlv/deFwe0jB4twG+CZXco0dFgez1P5KO3Q4NHkZlp9l5a0N1ofEwsdH58rrCk/h1&#10;H71+fgNWPwAAAP//AwBQSwMEFAAGAAgAAAAhAEhP4SbeAAAABwEAAA8AAABkcnMvZG93bnJldi54&#10;bWxMj8FOwzAQRO9I/IO1SNyoU0BpGrKpEFK5tIDaogpubrwkEbEd2U4b/p6FCxxHM5p5UyxG04kj&#10;+dA6izCdJCDIVk63tkZ43S2vMhAhKqtV5ywhfFGARXl+Vqhcu5Pd0HEba8ElNuQKoYmxz6UMVUNG&#10;hYnrybL34bxRkaWvpfbqxOWmk9dJkkqjWssLjerpoaHqczsYhM16ucr2q2Gs/Pvj9Hn3sn56Cxni&#10;5cV4fwci0hj/wvCDz+hQMtPBDVYH0SHMb1JOImR8gO1feUC4TWczkGUh//OX3wAAAP//AwBQSwEC&#10;LQAUAAYACAAAACEAtoM4kv4AAADhAQAAEwAAAAAAAAAAAAAAAAAAAAAAW0NvbnRlbnRfVHlwZXNd&#10;LnhtbFBLAQItABQABgAIAAAAIQA4/SH/1gAAAJQBAAALAAAAAAAAAAAAAAAAAC8BAABfcmVscy8u&#10;cmVsc1BLAQItABQABgAIAAAAIQCT3YxTKAIAAEsEAAAOAAAAAAAAAAAAAAAAAC4CAABkcnMvZTJv&#10;RG9jLnhtbFBLAQItABQABgAIAAAAIQBIT+Em3gAAAAcBAAAPAAAAAAAAAAAAAAAAAIIEAABkcnMv&#10;ZG93bnJldi54bWxQSwUGAAAAAAQABADzAAAAjQUAAAAA&#10;">
                      <v:stroke endarrow="block"/>
                    </v:line>
                  </w:pict>
                </mc:Fallback>
              </mc:AlternateContent>
            </w:r>
          </w:p>
          <w:p w14:paraId="6E7203D4" w14:textId="77777777" w:rsidR="009075CD" w:rsidRPr="000A7FD1" w:rsidRDefault="009075CD" w:rsidP="004E3BDA">
            <w:pPr>
              <w:spacing w:before="60" w:after="60"/>
              <w:jc w:val="center"/>
            </w:pPr>
          </w:p>
        </w:tc>
        <w:tc>
          <w:tcPr>
            <w:tcW w:w="2970" w:type="dxa"/>
            <w:vMerge w:val="restart"/>
            <w:tcBorders>
              <w:top w:val="single" w:sz="7" w:space="0" w:color="000000"/>
              <w:left w:val="single" w:sz="8" w:space="0" w:color="000000"/>
              <w:right w:val="single" w:sz="8" w:space="0" w:color="000000"/>
            </w:tcBorders>
          </w:tcPr>
          <w:p w14:paraId="2709CAE9" w14:textId="77777777" w:rsidR="009075CD" w:rsidRPr="000A7FD1" w:rsidRDefault="009F54E3" w:rsidP="004E3BDA">
            <w:pPr>
              <w:pStyle w:val="Table-Cell-Center"/>
              <w:spacing w:before="60" w:after="60"/>
            </w:pPr>
            <w:r w:rsidRPr="000A7FD1">
              <w:rPr>
                <w:noProof/>
              </w:rPr>
              <mc:AlternateContent>
                <mc:Choice Requires="wps">
                  <w:drawing>
                    <wp:anchor distT="0" distB="0" distL="114300" distR="114300" simplePos="0" relativeHeight="251662336" behindDoc="0" locked="0" layoutInCell="1" allowOverlap="1" wp14:anchorId="284FEF6B" wp14:editId="1DA0B051">
                      <wp:simplePos x="0" y="0"/>
                      <wp:positionH relativeFrom="column">
                        <wp:posOffset>799338</wp:posOffset>
                      </wp:positionH>
                      <wp:positionV relativeFrom="paragraph">
                        <wp:posOffset>288671</wp:posOffset>
                      </wp:positionV>
                      <wp:extent cx="0" cy="364871"/>
                      <wp:effectExtent l="76200" t="0" r="76200" b="54610"/>
                      <wp:wrapNone/>
                      <wp:docPr id="10" name="Straight Arrow Connector 10"/>
                      <wp:cNvGraphicFramePr/>
                      <a:graphic xmlns:a="http://schemas.openxmlformats.org/drawingml/2006/main">
                        <a:graphicData uri="http://schemas.microsoft.com/office/word/2010/wordprocessingShape">
                          <wps:wsp>
                            <wps:cNvCnPr/>
                            <wps:spPr>
                              <a:xfrm>
                                <a:off x="0" y="0"/>
                                <a:ext cx="0" cy="36487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V relativeFrom="margin">
                        <wp14:pctHeight>0</wp14:pctHeight>
                      </wp14:sizeRelV>
                    </wp:anchor>
                  </w:drawing>
                </mc:Choice>
                <mc:Fallback>
                  <w:pict>
                    <v:shapetype w14:anchorId="72088823" id="_x0000_t32" coordsize="21600,21600" o:spt="32" o:oned="t" path="m,l21600,21600e" filled="f">
                      <v:path arrowok="t" fillok="f" o:connecttype="none"/>
                      <o:lock v:ext="edit" shapetype="t"/>
                    </v:shapetype>
                    <v:shape id="Straight Arrow Connector 10" o:spid="_x0000_s1026" type="#_x0000_t32" style="position:absolute;margin-left:62.95pt;margin-top:22.75pt;width:0;height:28.7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F6gEgIAAC0EAAAOAAAAZHJzL2Uyb0RvYy54bWysU8Fu2zAMvQ/YPwi6p7ZTJ02MOEVhJ7sM&#10;W4BuH6BYsi1AlgxKjRMM+/dRspO222UY5oNMUeLT4yO5eTx3ipwEWGl0TpO7mBKhK8OlbnL6/dt+&#10;tqLEOqY5U0aLnF6EpY/bjx82Q5+JuWmN4gIIgmibDX1OW+f6LIps1YqO2TvTC42HtYGOOdxCE3Fg&#10;A6J3KprH8TIaDPAeTCWsRW85HtJtwK9rUbmvdW2FIyqnyM2FFcJ69Gu03bCsAda3spposH9g0TGp&#10;8dEbVMkcIy8g/4DqZAXGmtrdVaaLTF3LSoQcMJsk/i2b55b1IuSC4tj+JpP9f7DVl9MBiORYO5RH&#10;sw5r9OyAyaZ15AnADKQwWqOOBgheQb2G3mYYVugDTDvbH8Anf66h839Mi5yDxpebxuLsSDU6K/Te&#10;L9PVQ+Lhote4Hqz7JExHvJFTO/G4EUiCxOz02box8BrgH9VmL5VCP8uUJkNO14v5IgRYoyT3h/7M&#10;QnMsFJAT8x0RvonFu2tgXjQPYK1gfDfZjkmFNnGXHnVyIJlulKD+tU5wSpTAIfDWSE9p/yJmjoQn&#10;a2yKH+t4vVvtVuksnS93szQuy9nTvkhny33ysCjvy6Iok5+efJJmreRcaM//2qBJ+ncNMI3K2Fq3&#10;Fr0JFb1HD6VAstd/IB35ao/19dbR8Esoe/BjT4bL0/z4pn+7R/vtlG9/AQAA//8DAFBLAwQUAAYA&#10;CAAAACEAmfJy+uAAAAAKAQAADwAAAGRycy9kb3ducmV2LnhtbEyPwU7DMBBE70j8g7VI3KhNIREN&#10;cSqgQuQCEi1CHN3YxBbxOordNu3Xs+VSbju7o9k35Xz0HduaIbqAEq4nApjBJmiHrYSP1fPVHbCY&#10;FGrVBTQS9ibCvDo/K1Whww7fzXaZWkYhGAslwabUF5zHxhqv4iT0Bun2HQavEsmh5XpQOwr3HZ8K&#10;kXOvHNIHq3rzZE3zs9x4CWnxtbf5Z/M4c2+rl9fcHeq6Xkh5eTE+3ANLZkwnMxzxCR0qYlqHDerI&#10;OtLTbEZWCbdZBuxo+FusaRA3AnhV8v8Vql8AAAD//wMAUEsBAi0AFAAGAAgAAAAhALaDOJL+AAAA&#10;4QEAABMAAAAAAAAAAAAAAAAAAAAAAFtDb250ZW50X1R5cGVzXS54bWxQSwECLQAUAAYACAAAACEA&#10;OP0h/9YAAACUAQAACwAAAAAAAAAAAAAAAAAvAQAAX3JlbHMvLnJlbHNQSwECLQAUAAYACAAAACEA&#10;VUReoBICAAAtBAAADgAAAAAAAAAAAAAAAAAuAgAAZHJzL2Uyb0RvYy54bWxQSwECLQAUAAYACAAA&#10;ACEAmfJy+uAAAAAKAQAADwAAAAAAAAAAAAAAAABsBAAAZHJzL2Rvd25yZXYueG1sUEsFBgAAAAAE&#10;AAQA8wAAAHkFAAAAAA==&#10;">
                      <v:stroke endarrow="block"/>
                    </v:shape>
                  </w:pict>
                </mc:Fallback>
              </mc:AlternateContent>
            </w:r>
            <w:r w:rsidR="009075CD" w:rsidRPr="000A7FD1">
              <w:t>Delegation of authority</w:t>
            </w:r>
          </w:p>
        </w:tc>
        <w:tc>
          <w:tcPr>
            <w:tcW w:w="2304" w:type="dxa"/>
            <w:tcBorders>
              <w:top w:val="single" w:sz="7" w:space="0" w:color="000000"/>
              <w:left w:val="single" w:sz="8" w:space="0" w:color="000000"/>
              <w:bottom w:val="single" w:sz="7" w:space="0" w:color="000000"/>
              <w:right w:val="double" w:sz="4" w:space="0" w:color="auto"/>
            </w:tcBorders>
          </w:tcPr>
          <w:p w14:paraId="3DBA1FE4" w14:textId="77777777" w:rsidR="009075CD" w:rsidRPr="000A7FD1" w:rsidRDefault="009075CD" w:rsidP="004E3BDA">
            <w:pPr>
              <w:pStyle w:val="Table-Cell-Center"/>
              <w:spacing w:before="60" w:after="60"/>
            </w:pPr>
            <w:r w:rsidRPr="000A7FD1">
              <w:t>Apportionment</w:t>
            </w:r>
          </w:p>
        </w:tc>
      </w:tr>
      <w:tr w:rsidR="009075CD" w:rsidRPr="000A7FD1" w14:paraId="7815A608" w14:textId="77777777" w:rsidTr="004E3BDA">
        <w:trPr>
          <w:cantSplit/>
        </w:trPr>
        <w:tc>
          <w:tcPr>
            <w:tcW w:w="2250" w:type="dxa"/>
            <w:vMerge/>
            <w:tcBorders>
              <w:left w:val="double" w:sz="4" w:space="0" w:color="auto"/>
              <w:right w:val="single" w:sz="8" w:space="0" w:color="000000"/>
            </w:tcBorders>
          </w:tcPr>
          <w:p w14:paraId="75B5E9DA" w14:textId="77777777" w:rsidR="009075CD" w:rsidRPr="000A7FD1" w:rsidRDefault="009075CD" w:rsidP="004E3BDA">
            <w:pPr>
              <w:spacing w:before="60" w:after="60"/>
              <w:jc w:val="center"/>
            </w:pPr>
          </w:p>
        </w:tc>
        <w:tc>
          <w:tcPr>
            <w:tcW w:w="2970" w:type="dxa"/>
            <w:vMerge/>
            <w:tcBorders>
              <w:left w:val="single" w:sz="8" w:space="0" w:color="000000"/>
              <w:bottom w:val="single" w:sz="7" w:space="0" w:color="000000"/>
              <w:right w:val="single" w:sz="8" w:space="0" w:color="000000"/>
            </w:tcBorders>
          </w:tcPr>
          <w:p w14:paraId="5ED94A2D" w14:textId="77777777" w:rsidR="009075CD" w:rsidRPr="000A7FD1" w:rsidRDefault="009075CD" w:rsidP="004E3BDA">
            <w:pPr>
              <w:pStyle w:val="Table-Cell-Center"/>
              <w:spacing w:before="60" w:after="60"/>
            </w:pPr>
          </w:p>
        </w:tc>
        <w:tc>
          <w:tcPr>
            <w:tcW w:w="2304" w:type="dxa"/>
            <w:tcBorders>
              <w:top w:val="single" w:sz="7" w:space="0" w:color="000000"/>
              <w:left w:val="single" w:sz="8" w:space="0" w:color="000000"/>
              <w:bottom w:val="single" w:sz="7" w:space="0" w:color="000000"/>
              <w:right w:val="double" w:sz="4" w:space="0" w:color="auto"/>
            </w:tcBorders>
          </w:tcPr>
          <w:p w14:paraId="50FF9576" w14:textId="77777777" w:rsidR="009075CD" w:rsidRPr="000A7FD1" w:rsidRDefault="009075CD" w:rsidP="004E3BDA">
            <w:pPr>
              <w:pStyle w:val="Table-Cell-Center"/>
              <w:spacing w:before="60" w:after="60"/>
            </w:pPr>
            <w:r w:rsidRPr="000A7FD1">
              <w:t>Allotment</w:t>
            </w:r>
          </w:p>
        </w:tc>
      </w:tr>
      <w:tr w:rsidR="009075CD" w:rsidRPr="000A7FD1" w14:paraId="61D10AEC" w14:textId="77777777" w:rsidTr="004E3BDA">
        <w:trPr>
          <w:cantSplit/>
        </w:trPr>
        <w:tc>
          <w:tcPr>
            <w:tcW w:w="2250" w:type="dxa"/>
            <w:vMerge/>
            <w:tcBorders>
              <w:left w:val="double" w:sz="4" w:space="0" w:color="auto"/>
              <w:right w:val="single" w:sz="8" w:space="0" w:color="000000"/>
            </w:tcBorders>
          </w:tcPr>
          <w:p w14:paraId="718F7CC3" w14:textId="77777777" w:rsidR="009075CD" w:rsidRPr="000A7FD1" w:rsidRDefault="009075CD" w:rsidP="004E3BDA">
            <w:pPr>
              <w:spacing w:before="60" w:after="60"/>
              <w:jc w:val="center"/>
            </w:pPr>
          </w:p>
        </w:tc>
        <w:tc>
          <w:tcPr>
            <w:tcW w:w="2970" w:type="dxa"/>
            <w:vMerge w:val="restart"/>
            <w:tcBorders>
              <w:top w:val="single" w:sz="7" w:space="0" w:color="000000"/>
              <w:left w:val="single" w:sz="8" w:space="0" w:color="000000"/>
              <w:right w:val="single" w:sz="8" w:space="0" w:color="000000"/>
            </w:tcBorders>
          </w:tcPr>
          <w:p w14:paraId="28B2286C" w14:textId="77777777" w:rsidR="009075CD" w:rsidRPr="000A7FD1" w:rsidRDefault="009075CD" w:rsidP="004E3BDA">
            <w:pPr>
              <w:pStyle w:val="Table-Cell-Center"/>
              <w:spacing w:before="60" w:after="60"/>
            </w:pPr>
            <w:r w:rsidRPr="000A7FD1">
              <w:t>Use of authority</w:t>
            </w:r>
          </w:p>
          <w:p w14:paraId="55C57A25" w14:textId="77777777" w:rsidR="009075CD" w:rsidRPr="000A7FD1" w:rsidRDefault="00106C1C" w:rsidP="004E3BDA">
            <w:pPr>
              <w:spacing w:before="60" w:after="60"/>
              <w:jc w:val="center"/>
            </w:pPr>
            <w:r w:rsidRPr="000A7FD1">
              <w:rPr>
                <w:noProof/>
              </w:rPr>
              <mc:AlternateContent>
                <mc:Choice Requires="wps">
                  <w:drawing>
                    <wp:anchor distT="0" distB="0" distL="114300" distR="114300" simplePos="0" relativeHeight="251661312" behindDoc="0" locked="0" layoutInCell="1" allowOverlap="1" wp14:anchorId="3898E21A" wp14:editId="5C26CEA5">
                      <wp:simplePos x="0" y="0"/>
                      <wp:positionH relativeFrom="column">
                        <wp:posOffset>799338</wp:posOffset>
                      </wp:positionH>
                      <wp:positionV relativeFrom="paragraph">
                        <wp:posOffset>97282</wp:posOffset>
                      </wp:positionV>
                      <wp:extent cx="0" cy="2011172"/>
                      <wp:effectExtent l="76200" t="0" r="57150" b="65405"/>
                      <wp:wrapNone/>
                      <wp:docPr id="5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117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8B2A6E" id="Line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95pt,7.65pt" to="62.9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vBGJgIAAEsEAAAOAAAAZHJzL2Uyb0RvYy54bWysVMGO2jAQvVfqP1i+QxIKLESEVZVAL7RF&#10;2u0HGNshVh3bsg0BVf33jp1AS3upqnIwY3vmzZs346yeL61EZ26d0KrA2TjFiCuqmVDHAn953Y4W&#10;GDlPFCNSK17gK3f4ef32zaozOZ/oRkvGLQIQ5fLOFLjx3uRJ4mjDW+LG2nAFl7W2LfGwtceEWdIB&#10;eiuTSZrOk05bZqym3Dk4rfpLvI74dc2p/1zXjnskCwzcfFxtXA9hTdYrkh8tMY2gAw3yDyxaIhQk&#10;vUNVxBN0suIPqFZQq52u/ZjqNtF1LSiPNUA1WfpbNS8NMTzWAuI4c5fJ/T9Y+um8t0iwAs/mGCnS&#10;Qo92QnH0FKTpjMvBo1R7G4qjF/Vidpp+dUjpsiHqyCPF16uBsCxEJA8hYeMMJDh0HzUDH3LyOup0&#10;qW0bIEEBdIntuN7bwS8e0f6QwikIk2VPk4hO8lugsc5/4LpFwSiwBM4RmJx3zgciJL+5hDxKb4WU&#10;sdtSoa7Ay9lkFgOcloKFy+Dm7PFQSovOJMxL/A15H9ysPikWwRpO2GawPRESbOSjHN4KEEhyHLK1&#10;nGEkOTyRYPX0pAoZoVggPFj9yHxbpsvNYrOYjqaT+WY0Tatq9H5bTkfzbfY0q95VZVll3wP5bJo3&#10;gjGuAv/b+GbTvxuP4SH1g3cf4LtQySN6VBTI3v4j6djt0OB+VA6aXfc2VBcaDxMbnYfXFZ7Er/vo&#10;9fMbsP4BAAD//wMAUEsDBBQABgAIAAAAIQCNo4cu4AAAAAoBAAAPAAAAZHJzL2Rvd25yZXYueG1s&#10;TI/NTsMwEITvSLyDtUjcqNNERSHEqRBSubRQ9UcV3NxkSSLidWQ7bXh7tlzgtrM7mv0mn4+mEyd0&#10;vrWkYDqJQCCVtmqpVrDfLe5SED5oqnRnCRV8o4d5cX2V66yyZ9rgaRtqwSHkM62gCaHPpPRlg0b7&#10;ie2R+PZpndGBpatl5fSZw00n4yi6l0a3xB8a3eNzg+XXdjAKNqvFMj0sh7F0Hy/Tt9169fruU6Vu&#10;b8anRxABx/Bnhgs+o0PBTEc7UOVFxzqePbCVh1kC4mL4XRwVJEkcgSxy+b9C8QMAAP//AwBQSwEC&#10;LQAUAAYACAAAACEAtoM4kv4AAADhAQAAEwAAAAAAAAAAAAAAAAAAAAAAW0NvbnRlbnRfVHlwZXNd&#10;LnhtbFBLAQItABQABgAIAAAAIQA4/SH/1gAAAJQBAAALAAAAAAAAAAAAAAAAAC8BAABfcmVscy8u&#10;cmVsc1BLAQItABQABgAIAAAAIQArpvBGJgIAAEsEAAAOAAAAAAAAAAAAAAAAAC4CAABkcnMvZTJv&#10;RG9jLnhtbFBLAQItABQABgAIAAAAIQCNo4cu4AAAAAoBAAAPAAAAAAAAAAAAAAAAAIAEAABkcnMv&#10;ZG93bnJldi54bWxQSwUGAAAAAAQABADzAAAAjQUAAAAA&#10;">
                      <v:stroke endarrow="block"/>
                    </v:line>
                  </w:pict>
                </mc:Fallback>
              </mc:AlternateContent>
            </w:r>
          </w:p>
          <w:p w14:paraId="13EBBF27" w14:textId="77777777" w:rsidR="009075CD" w:rsidRPr="000A7FD1" w:rsidRDefault="009075CD" w:rsidP="004E3BDA">
            <w:pPr>
              <w:spacing w:before="60" w:after="60"/>
              <w:jc w:val="center"/>
            </w:pPr>
          </w:p>
        </w:tc>
        <w:tc>
          <w:tcPr>
            <w:tcW w:w="2304" w:type="dxa"/>
            <w:tcBorders>
              <w:top w:val="single" w:sz="7" w:space="0" w:color="000000"/>
              <w:left w:val="single" w:sz="8" w:space="0" w:color="000000"/>
              <w:bottom w:val="single" w:sz="7" w:space="0" w:color="000000"/>
              <w:right w:val="double" w:sz="4" w:space="0" w:color="auto"/>
            </w:tcBorders>
          </w:tcPr>
          <w:p w14:paraId="5610E93F" w14:textId="77777777" w:rsidR="009075CD" w:rsidRPr="000A7FD1" w:rsidRDefault="009075CD" w:rsidP="004E3BDA">
            <w:pPr>
              <w:pStyle w:val="Table-Cell-Center"/>
              <w:spacing w:before="60" w:after="60"/>
            </w:pPr>
            <w:r w:rsidRPr="000A7FD1">
              <w:t>Commitment</w:t>
            </w:r>
          </w:p>
        </w:tc>
      </w:tr>
      <w:tr w:rsidR="009075CD" w:rsidRPr="000A7FD1" w14:paraId="36AD3E7F" w14:textId="77777777" w:rsidTr="004E3BDA">
        <w:trPr>
          <w:cantSplit/>
        </w:trPr>
        <w:tc>
          <w:tcPr>
            <w:tcW w:w="2250" w:type="dxa"/>
            <w:vMerge/>
            <w:tcBorders>
              <w:left w:val="double" w:sz="4" w:space="0" w:color="auto"/>
              <w:right w:val="single" w:sz="8" w:space="0" w:color="000000"/>
            </w:tcBorders>
          </w:tcPr>
          <w:p w14:paraId="2B9CF54C" w14:textId="77777777" w:rsidR="009075CD" w:rsidRPr="000A7FD1" w:rsidRDefault="009075CD" w:rsidP="004E3BDA">
            <w:pPr>
              <w:spacing w:before="60" w:after="60"/>
              <w:jc w:val="center"/>
            </w:pPr>
          </w:p>
        </w:tc>
        <w:tc>
          <w:tcPr>
            <w:tcW w:w="2970" w:type="dxa"/>
            <w:vMerge/>
            <w:tcBorders>
              <w:left w:val="single" w:sz="8" w:space="0" w:color="000000"/>
              <w:right w:val="single" w:sz="8" w:space="0" w:color="000000"/>
            </w:tcBorders>
          </w:tcPr>
          <w:p w14:paraId="3F7B3E39" w14:textId="77777777" w:rsidR="009075CD" w:rsidRPr="000A7FD1" w:rsidRDefault="009075CD" w:rsidP="004E3BDA">
            <w:pPr>
              <w:spacing w:before="60" w:after="60"/>
              <w:jc w:val="center"/>
            </w:pPr>
          </w:p>
        </w:tc>
        <w:tc>
          <w:tcPr>
            <w:tcW w:w="2304" w:type="dxa"/>
            <w:tcBorders>
              <w:top w:val="single" w:sz="7" w:space="0" w:color="000000"/>
              <w:left w:val="single" w:sz="8" w:space="0" w:color="000000"/>
              <w:bottom w:val="single" w:sz="7" w:space="0" w:color="000000"/>
              <w:right w:val="double" w:sz="4" w:space="0" w:color="auto"/>
            </w:tcBorders>
          </w:tcPr>
          <w:p w14:paraId="760EF3D6" w14:textId="77777777" w:rsidR="009075CD" w:rsidRPr="000A7FD1" w:rsidRDefault="009075CD" w:rsidP="004E3BDA">
            <w:pPr>
              <w:pStyle w:val="Table-Cell-Center"/>
              <w:spacing w:before="60" w:after="60"/>
            </w:pPr>
            <w:r w:rsidRPr="000A7FD1">
              <w:t>Obligation</w:t>
            </w:r>
          </w:p>
        </w:tc>
      </w:tr>
      <w:tr w:rsidR="009075CD" w:rsidRPr="000A7FD1" w14:paraId="2CB2F16B" w14:textId="77777777" w:rsidTr="004E3BDA">
        <w:trPr>
          <w:cantSplit/>
        </w:trPr>
        <w:tc>
          <w:tcPr>
            <w:tcW w:w="2250" w:type="dxa"/>
            <w:vMerge/>
            <w:tcBorders>
              <w:left w:val="double" w:sz="4" w:space="0" w:color="auto"/>
              <w:right w:val="single" w:sz="8" w:space="0" w:color="000000"/>
            </w:tcBorders>
          </w:tcPr>
          <w:p w14:paraId="2F435B64" w14:textId="77777777" w:rsidR="009075CD" w:rsidRPr="000A7FD1" w:rsidRDefault="009075CD" w:rsidP="004E3BDA">
            <w:pPr>
              <w:spacing w:before="60" w:after="60"/>
              <w:jc w:val="center"/>
            </w:pPr>
          </w:p>
        </w:tc>
        <w:tc>
          <w:tcPr>
            <w:tcW w:w="2970" w:type="dxa"/>
            <w:vMerge/>
            <w:tcBorders>
              <w:left w:val="single" w:sz="8" w:space="0" w:color="000000"/>
              <w:right w:val="single" w:sz="8" w:space="0" w:color="000000"/>
            </w:tcBorders>
          </w:tcPr>
          <w:p w14:paraId="4615C938" w14:textId="77777777" w:rsidR="009075CD" w:rsidRPr="000A7FD1" w:rsidRDefault="009075CD" w:rsidP="004E3BDA">
            <w:pPr>
              <w:spacing w:before="60" w:after="60"/>
              <w:jc w:val="center"/>
            </w:pPr>
          </w:p>
        </w:tc>
        <w:tc>
          <w:tcPr>
            <w:tcW w:w="2304" w:type="dxa"/>
            <w:tcBorders>
              <w:top w:val="single" w:sz="7" w:space="0" w:color="000000"/>
              <w:left w:val="single" w:sz="8" w:space="0" w:color="000000"/>
              <w:bottom w:val="single" w:sz="7" w:space="0" w:color="000000"/>
              <w:right w:val="double" w:sz="4" w:space="0" w:color="auto"/>
            </w:tcBorders>
          </w:tcPr>
          <w:p w14:paraId="4CD54488" w14:textId="77777777" w:rsidR="009075CD" w:rsidRPr="000A7FD1" w:rsidRDefault="009075CD" w:rsidP="004E3BDA">
            <w:pPr>
              <w:pStyle w:val="Table-Cell-Center"/>
              <w:spacing w:before="60" w:after="60"/>
            </w:pPr>
            <w:r w:rsidRPr="000A7FD1">
              <w:t>Expended authority</w:t>
            </w:r>
          </w:p>
        </w:tc>
      </w:tr>
      <w:tr w:rsidR="009075CD" w:rsidRPr="000A7FD1" w14:paraId="4C445FD5" w14:textId="77777777" w:rsidTr="004E3BDA">
        <w:trPr>
          <w:cantSplit/>
        </w:trPr>
        <w:tc>
          <w:tcPr>
            <w:tcW w:w="2250" w:type="dxa"/>
            <w:vMerge/>
            <w:tcBorders>
              <w:left w:val="double" w:sz="4" w:space="0" w:color="auto"/>
              <w:right w:val="single" w:sz="8" w:space="0" w:color="000000"/>
            </w:tcBorders>
          </w:tcPr>
          <w:p w14:paraId="67E471CE" w14:textId="77777777" w:rsidR="009075CD" w:rsidRPr="000A7FD1" w:rsidRDefault="009075CD" w:rsidP="004E3BDA">
            <w:pPr>
              <w:spacing w:before="60" w:after="60"/>
              <w:jc w:val="center"/>
            </w:pPr>
          </w:p>
        </w:tc>
        <w:tc>
          <w:tcPr>
            <w:tcW w:w="2970" w:type="dxa"/>
            <w:vMerge/>
            <w:tcBorders>
              <w:left w:val="single" w:sz="8" w:space="0" w:color="000000"/>
              <w:right w:val="single" w:sz="8" w:space="0" w:color="000000"/>
            </w:tcBorders>
          </w:tcPr>
          <w:p w14:paraId="41EEE72B" w14:textId="77777777" w:rsidR="009075CD" w:rsidRPr="000A7FD1" w:rsidRDefault="009075CD" w:rsidP="004E3BDA">
            <w:pPr>
              <w:spacing w:before="60" w:after="60"/>
              <w:jc w:val="center"/>
            </w:pPr>
          </w:p>
        </w:tc>
        <w:tc>
          <w:tcPr>
            <w:tcW w:w="2304" w:type="dxa"/>
            <w:tcBorders>
              <w:top w:val="single" w:sz="7" w:space="0" w:color="000000"/>
              <w:left w:val="single" w:sz="8" w:space="0" w:color="000000"/>
              <w:bottom w:val="single" w:sz="7" w:space="0" w:color="000000"/>
              <w:right w:val="double" w:sz="4" w:space="0" w:color="auto"/>
            </w:tcBorders>
          </w:tcPr>
          <w:p w14:paraId="052735B7" w14:textId="77777777" w:rsidR="009075CD" w:rsidRPr="000A7FD1" w:rsidRDefault="009075CD" w:rsidP="004E3BDA">
            <w:pPr>
              <w:pStyle w:val="Table-Cell-Center"/>
              <w:spacing w:before="60" w:after="60"/>
            </w:pPr>
            <w:r w:rsidRPr="000A7FD1">
              <w:t>Outlay</w:t>
            </w:r>
          </w:p>
        </w:tc>
      </w:tr>
      <w:tr w:rsidR="009075CD" w:rsidRPr="000A7FD1" w14:paraId="14E32AED" w14:textId="77777777" w:rsidTr="004E3BDA">
        <w:trPr>
          <w:cantSplit/>
        </w:trPr>
        <w:tc>
          <w:tcPr>
            <w:tcW w:w="2250" w:type="dxa"/>
            <w:tcBorders>
              <w:left w:val="double" w:sz="4" w:space="0" w:color="auto"/>
              <w:right w:val="single" w:sz="8" w:space="0" w:color="000000"/>
            </w:tcBorders>
          </w:tcPr>
          <w:p w14:paraId="761D4A9D" w14:textId="77777777" w:rsidR="009075CD" w:rsidRPr="000A7FD1" w:rsidRDefault="009075CD" w:rsidP="004E3BDA">
            <w:pPr>
              <w:spacing w:before="60" w:after="60"/>
              <w:jc w:val="center"/>
            </w:pPr>
          </w:p>
        </w:tc>
        <w:tc>
          <w:tcPr>
            <w:tcW w:w="2970" w:type="dxa"/>
            <w:tcBorders>
              <w:left w:val="single" w:sz="8" w:space="0" w:color="000000"/>
              <w:right w:val="single" w:sz="8" w:space="0" w:color="000000"/>
            </w:tcBorders>
          </w:tcPr>
          <w:p w14:paraId="5CC459E0" w14:textId="77777777" w:rsidR="009075CD" w:rsidRPr="000A7FD1" w:rsidRDefault="009075CD" w:rsidP="004E3BDA">
            <w:pPr>
              <w:spacing w:before="60" w:after="60"/>
              <w:jc w:val="center"/>
            </w:pPr>
          </w:p>
        </w:tc>
        <w:tc>
          <w:tcPr>
            <w:tcW w:w="2304" w:type="dxa"/>
            <w:tcBorders>
              <w:top w:val="single" w:sz="7" w:space="0" w:color="000000"/>
              <w:left w:val="single" w:sz="8" w:space="0" w:color="000000"/>
              <w:bottom w:val="single" w:sz="7" w:space="0" w:color="000000"/>
              <w:right w:val="double" w:sz="4" w:space="0" w:color="auto"/>
            </w:tcBorders>
          </w:tcPr>
          <w:p w14:paraId="73B8D57E" w14:textId="77777777" w:rsidR="009075CD" w:rsidRPr="000A7FD1" w:rsidRDefault="009075CD" w:rsidP="004E3BDA">
            <w:pPr>
              <w:pStyle w:val="Table-Cell-Center"/>
              <w:spacing w:before="60" w:after="60"/>
            </w:pPr>
            <w:r w:rsidRPr="000A7FD1">
              <w:t>Expiration</w:t>
            </w:r>
          </w:p>
        </w:tc>
      </w:tr>
      <w:tr w:rsidR="009075CD" w:rsidRPr="000A7FD1" w14:paraId="20FB25C2" w14:textId="77777777" w:rsidTr="004E3BDA">
        <w:trPr>
          <w:cantSplit/>
        </w:trPr>
        <w:tc>
          <w:tcPr>
            <w:tcW w:w="2250" w:type="dxa"/>
            <w:tcBorders>
              <w:left w:val="double" w:sz="4" w:space="0" w:color="auto"/>
              <w:bottom w:val="double" w:sz="4" w:space="0" w:color="auto"/>
              <w:right w:val="single" w:sz="8" w:space="0" w:color="000000"/>
            </w:tcBorders>
          </w:tcPr>
          <w:p w14:paraId="69F28C27" w14:textId="77777777" w:rsidR="009075CD" w:rsidRPr="000A7FD1" w:rsidRDefault="009075CD" w:rsidP="004E3BDA">
            <w:pPr>
              <w:spacing w:before="60" w:after="60"/>
              <w:jc w:val="center"/>
            </w:pPr>
          </w:p>
        </w:tc>
        <w:tc>
          <w:tcPr>
            <w:tcW w:w="2970" w:type="dxa"/>
            <w:tcBorders>
              <w:left w:val="single" w:sz="8" w:space="0" w:color="000000"/>
              <w:bottom w:val="double" w:sz="4" w:space="0" w:color="auto"/>
              <w:right w:val="single" w:sz="8" w:space="0" w:color="000000"/>
            </w:tcBorders>
          </w:tcPr>
          <w:p w14:paraId="18F7AE01" w14:textId="77777777" w:rsidR="009075CD" w:rsidRPr="000A7FD1" w:rsidRDefault="009075CD" w:rsidP="004E3BDA">
            <w:pPr>
              <w:spacing w:before="60" w:after="60"/>
              <w:jc w:val="center"/>
            </w:pPr>
          </w:p>
        </w:tc>
        <w:tc>
          <w:tcPr>
            <w:tcW w:w="2304" w:type="dxa"/>
            <w:tcBorders>
              <w:top w:val="single" w:sz="7" w:space="0" w:color="000000"/>
              <w:left w:val="single" w:sz="8" w:space="0" w:color="000000"/>
              <w:bottom w:val="double" w:sz="4" w:space="0" w:color="auto"/>
              <w:right w:val="double" w:sz="4" w:space="0" w:color="auto"/>
            </w:tcBorders>
          </w:tcPr>
          <w:p w14:paraId="70DB1D2C" w14:textId="77777777" w:rsidR="009075CD" w:rsidRPr="000A7FD1" w:rsidRDefault="009075CD" w:rsidP="004E3BDA">
            <w:pPr>
              <w:pStyle w:val="Table-Cell-Center"/>
              <w:spacing w:before="60" w:after="60"/>
            </w:pPr>
            <w:r w:rsidRPr="000A7FD1">
              <w:t>Cancellation</w:t>
            </w:r>
          </w:p>
        </w:tc>
      </w:tr>
    </w:tbl>
    <w:p w14:paraId="5DE45838" w14:textId="77777777" w:rsidR="009075CD" w:rsidRPr="000A7FD1" w:rsidRDefault="009075CD" w:rsidP="008B6636"/>
    <w:p w14:paraId="1C1946E5" w14:textId="5CFB9DAB" w:rsidR="009075CD" w:rsidRPr="000A7FD1" w:rsidRDefault="009075CD" w:rsidP="004A102E">
      <w:pPr>
        <w:pStyle w:val="FAM-Subsection"/>
      </w:pPr>
      <w:r w:rsidRPr="000A7FD1">
        <w:t xml:space="preserve">The design of the budget execution process is of interest to the auditor when testing the statement of budgetary resources and reconciliation of net cost to </w:t>
      </w:r>
      <w:r w:rsidR="002B3D5C" w:rsidRPr="000A7FD1">
        <w:t>net outlays</w:t>
      </w:r>
      <w:r w:rsidRPr="000A7FD1">
        <w:t xml:space="preserve"> and when evaluating an </w:t>
      </w:r>
      <w:r w:rsidR="002301EE" w:rsidRPr="000A7FD1">
        <w:t xml:space="preserve">entity’s </w:t>
      </w:r>
      <w:r w:rsidRPr="000A7FD1">
        <w:t>internal control relating to budget execution</w:t>
      </w:r>
      <w:r w:rsidR="002301EE" w:rsidRPr="000A7FD1">
        <w:t>.</w:t>
      </w:r>
      <w:r w:rsidRPr="000A7FD1">
        <w:rPr>
          <w:rStyle w:val="FootnoteReference"/>
        </w:rPr>
        <w:footnoteReference w:id="13"/>
      </w:r>
    </w:p>
    <w:p w14:paraId="10C17DE9" w14:textId="5C65617D" w:rsidR="009075CD" w:rsidRPr="000A7FD1" w:rsidRDefault="009075CD" w:rsidP="000D1813">
      <w:pPr>
        <w:pStyle w:val="FAM-Bullet-1"/>
        <w:numPr>
          <w:ilvl w:val="0"/>
          <w:numId w:val="39"/>
        </w:numPr>
      </w:pPr>
      <w:r w:rsidRPr="000A7FD1">
        <w:t>Congress provides an entity with an</w:t>
      </w:r>
      <w:r w:rsidRPr="000A7FD1">
        <w:rPr>
          <w:b/>
          <w:bCs/>
        </w:rPr>
        <w:t xml:space="preserve"> appropriation (or other budget authority)</w:t>
      </w:r>
      <w:r w:rsidRPr="000A7FD1">
        <w:t xml:space="preserve">, which is authority provided by law to enter into obligations that </w:t>
      </w:r>
      <w:r w:rsidRPr="000A7FD1">
        <w:lastRenderedPageBreak/>
        <w:t>result in immediate or future outlays (2 U.S.</w:t>
      </w:r>
      <w:r w:rsidR="00146C9C" w:rsidRPr="000A7FD1">
        <w:t>C.</w:t>
      </w:r>
      <w:r w:rsidRPr="000A7FD1">
        <w:t xml:space="preserve"> </w:t>
      </w:r>
      <w:r w:rsidR="00261887" w:rsidRPr="000A7FD1">
        <w:t xml:space="preserve">§ </w:t>
      </w:r>
      <w:r w:rsidRPr="000A7FD1">
        <w:t>622(2)).</w:t>
      </w:r>
    </w:p>
    <w:p w14:paraId="6A080864" w14:textId="542C0BD7" w:rsidR="009075CD" w:rsidRPr="000A7FD1" w:rsidRDefault="009075CD" w:rsidP="008B6636">
      <w:pPr>
        <w:pStyle w:val="FAMContinuation2"/>
      </w:pPr>
      <w:r w:rsidRPr="000A7FD1">
        <w:t xml:space="preserve">The Secretary of the Treasury issues </w:t>
      </w:r>
      <w:r w:rsidRPr="000A7FD1">
        <w:rPr>
          <w:b/>
          <w:bCs/>
        </w:rPr>
        <w:t>warrants</w:t>
      </w:r>
      <w:r w:rsidRPr="000A7FD1">
        <w:t xml:space="preserve">, which establish the amount of moneys authorized to be withdrawn from the central accounts </w:t>
      </w:r>
      <w:r w:rsidR="000C4591" w:rsidRPr="000A7FD1">
        <w:t xml:space="preserve">that Treasury </w:t>
      </w:r>
      <w:r w:rsidRPr="000A7FD1">
        <w:t>maintain</w:t>
      </w:r>
      <w:r w:rsidR="000C4591" w:rsidRPr="000A7FD1">
        <w:t>s</w:t>
      </w:r>
      <w:r w:rsidRPr="000A7FD1">
        <w:t>.</w:t>
      </w:r>
    </w:p>
    <w:p w14:paraId="5136DFBC" w14:textId="77777777" w:rsidR="009075CD" w:rsidRPr="000A7FD1" w:rsidRDefault="009075CD" w:rsidP="000D1813">
      <w:pPr>
        <w:pStyle w:val="FAM-Bullet-1"/>
        <w:numPr>
          <w:ilvl w:val="0"/>
          <w:numId w:val="39"/>
        </w:numPr>
      </w:pPr>
      <w:r w:rsidRPr="000A7FD1">
        <w:t>OMB makes an</w:t>
      </w:r>
      <w:r w:rsidRPr="000A7FD1">
        <w:rPr>
          <w:b/>
          <w:bCs/>
        </w:rPr>
        <w:t xml:space="preserve"> apportionment</w:t>
      </w:r>
      <w:r w:rsidRPr="000A7FD1">
        <w:t>, which is a distribution of amounts available for obligation. Apportionments divide amounts available for obligation by specific periods (usually quarters), activities, projects, objects, or a combination thereof. The amounts apportioned limit the amount of obligations that may be incurred.</w:t>
      </w:r>
    </w:p>
    <w:p w14:paraId="41320F5B" w14:textId="77777777" w:rsidR="009075CD" w:rsidRPr="000A7FD1" w:rsidRDefault="009075CD" w:rsidP="000D1813">
      <w:pPr>
        <w:pStyle w:val="FAM-Bullet-1"/>
        <w:numPr>
          <w:ilvl w:val="0"/>
          <w:numId w:val="39"/>
        </w:numPr>
      </w:pPr>
      <w:r w:rsidRPr="000A7FD1">
        <w:t>The entity head (or other authorized employee) makes an</w:t>
      </w:r>
      <w:r w:rsidRPr="000A7FD1">
        <w:rPr>
          <w:b/>
          <w:bCs/>
        </w:rPr>
        <w:t xml:space="preserve"> allotment</w:t>
      </w:r>
      <w:r w:rsidRPr="000A7FD1">
        <w:t xml:space="preserve">, which is an authorization to subordinates to incur obligations within a specified amount. The total amount allotted by an entity may not exceed the amount apportioned by OMB. The entity, through its fund control regulations, establishes allotments at a legally binding level for complying with the </w:t>
      </w:r>
      <w:proofErr w:type="spellStart"/>
      <w:r w:rsidRPr="000A7FD1">
        <w:t>Antideficiency</w:t>
      </w:r>
      <w:proofErr w:type="spellEnd"/>
      <w:r w:rsidRPr="000A7FD1">
        <w:t xml:space="preserve"> Act. </w:t>
      </w:r>
      <w:proofErr w:type="spellStart"/>
      <w:r w:rsidRPr="000A7FD1">
        <w:t>Suballotments</w:t>
      </w:r>
      <w:proofErr w:type="spellEnd"/>
      <w:r w:rsidRPr="000A7FD1">
        <w:t xml:space="preserve"> and allowances are further administrative divisions of funds, usually at a more detailed level (i.e., </w:t>
      </w:r>
      <w:proofErr w:type="spellStart"/>
      <w:r w:rsidRPr="000A7FD1">
        <w:t>suballotments</w:t>
      </w:r>
      <w:proofErr w:type="spellEnd"/>
      <w:r w:rsidRPr="000A7FD1">
        <w:t xml:space="preserve"> are divisions of allotments established as needed).</w:t>
      </w:r>
    </w:p>
    <w:p w14:paraId="3883EAA7" w14:textId="0F07FA3A" w:rsidR="009075CD" w:rsidRPr="000A7FD1" w:rsidRDefault="009075CD" w:rsidP="000D1813">
      <w:pPr>
        <w:pStyle w:val="FAM-Bullet-1"/>
        <w:numPr>
          <w:ilvl w:val="0"/>
          <w:numId w:val="39"/>
        </w:numPr>
      </w:pPr>
      <w:r w:rsidRPr="000A7FD1">
        <w:t xml:space="preserve">The entity may make a </w:t>
      </w:r>
      <w:r w:rsidRPr="000A7FD1">
        <w:rPr>
          <w:b/>
          <w:bCs/>
        </w:rPr>
        <w:t>commitment</w:t>
      </w:r>
      <w:r w:rsidRPr="000A7FD1">
        <w:t xml:space="preserve">, which is an administrative reservation of an allotment or of other funds in anticipation of their obligation. Commitments are not required by law or regulation nor are they formal/official uses of budget authority. Rather, entities </w:t>
      </w:r>
      <w:r w:rsidR="002301EE" w:rsidRPr="000A7FD1">
        <w:t xml:space="preserve">use commitments </w:t>
      </w:r>
      <w:r w:rsidRPr="000A7FD1">
        <w:t>for financial planning and control over obligations and the use of budget authority.</w:t>
      </w:r>
    </w:p>
    <w:p w14:paraId="61FAEAE7" w14:textId="02DCA56C" w:rsidR="00365F99" w:rsidRPr="000A7FD1" w:rsidRDefault="009075CD" w:rsidP="000D1813">
      <w:pPr>
        <w:pStyle w:val="FAM-Bullet-1"/>
        <w:numPr>
          <w:ilvl w:val="0"/>
          <w:numId w:val="39"/>
        </w:numPr>
      </w:pPr>
      <w:r w:rsidRPr="000A7FD1">
        <w:t>The entity incurs an</w:t>
      </w:r>
      <w:r w:rsidRPr="000A7FD1">
        <w:rPr>
          <w:b/>
          <w:bCs/>
        </w:rPr>
        <w:t xml:space="preserve"> obligation</w:t>
      </w:r>
      <w:r w:rsidR="00FE7E61" w:rsidRPr="000A7FD1">
        <w:t>.</w:t>
      </w:r>
      <w:r w:rsidRPr="000A7FD1">
        <w:t xml:space="preserve"> </w:t>
      </w:r>
      <w:r w:rsidR="00FE7E61" w:rsidRPr="000A7FD1">
        <w:rPr>
          <w:bCs/>
        </w:rPr>
        <w:t xml:space="preserve">An obligation, as defined in OMB Circular No. A-11, </w:t>
      </w:r>
      <w:r w:rsidR="00FE7E61" w:rsidRPr="000A7FD1">
        <w:t>is a binding agreement that will result in outlays, immediately or in the future. GAO’s Federal Budget Glossary</w:t>
      </w:r>
      <w:r w:rsidR="00FE7E61" w:rsidRPr="000A7FD1">
        <w:rPr>
          <w:rStyle w:val="FootnoteReference"/>
        </w:rPr>
        <w:footnoteReference w:id="14"/>
      </w:r>
      <w:r w:rsidR="00FE7E61" w:rsidRPr="000A7FD1">
        <w:t xml:space="preserve"> defines obligation as a definite commitment that creates a legal liability of the government for the payment of goods and services ordered or received, or a legal duty on the part of the United States that could mature into a legal liability by virtue of actions on the part of the other party beyond the control of the United States. Payment may be made immediately or in the future. </w:t>
      </w:r>
      <w:r w:rsidR="00FE7E61" w:rsidRPr="000A7FD1">
        <w:rPr>
          <w:rStyle w:val="SC465550"/>
          <w:rFonts w:cs="Arial"/>
          <w:sz w:val="22"/>
          <w:szCs w:val="22"/>
        </w:rPr>
        <w:t xml:space="preserve">An agency incurs an obligation, for example, when it places an order, signs a contract, awards a grant, purchases a service, or takes other actions that require the government to make payments to the public or from one government account to another. </w:t>
      </w:r>
      <w:r w:rsidRPr="000A7FD1">
        <w:t xml:space="preserve">The entity should comply with legal requirements before recording obligations against appropriation accounts (title 7 of </w:t>
      </w:r>
      <w:r w:rsidRPr="000A7FD1">
        <w:rPr>
          <w:i/>
          <w:iCs/>
        </w:rPr>
        <w:t>GAO</w:t>
      </w:r>
      <w:r w:rsidR="001559F4" w:rsidRPr="000A7FD1">
        <w:rPr>
          <w:i/>
          <w:iCs/>
        </w:rPr>
        <w:t>’s</w:t>
      </w:r>
      <w:r w:rsidRPr="000A7FD1">
        <w:rPr>
          <w:i/>
          <w:iCs/>
        </w:rPr>
        <w:t xml:space="preserve"> Polic</w:t>
      </w:r>
      <w:r w:rsidR="001559F4" w:rsidRPr="000A7FD1">
        <w:rPr>
          <w:i/>
          <w:iCs/>
        </w:rPr>
        <w:t>y</w:t>
      </w:r>
      <w:r w:rsidRPr="000A7FD1">
        <w:rPr>
          <w:i/>
          <w:iCs/>
        </w:rPr>
        <w:t xml:space="preserve"> and Procedures Manual</w:t>
      </w:r>
      <w:r w:rsidR="001559F4" w:rsidRPr="000A7FD1">
        <w:rPr>
          <w:i/>
          <w:iCs/>
        </w:rPr>
        <w:t xml:space="preserve"> for Guidance of Federal Agencies</w:t>
      </w:r>
      <w:r w:rsidRPr="000A7FD1">
        <w:t xml:space="preserve">). These legal requirements include determining whether the purpose, the amount, and the timing of when the obligation was incurred are in accordance with the appropriation. Additionally, there are legal requirements concerning the documentary evidence necessary for recording an obligation. </w:t>
      </w:r>
    </w:p>
    <w:p w14:paraId="70E1C21C" w14:textId="3BDC8E46" w:rsidR="009075CD" w:rsidRPr="000A7FD1" w:rsidRDefault="009075CD" w:rsidP="008B6636">
      <w:pPr>
        <w:pStyle w:val="FAMContinuation2"/>
      </w:pPr>
      <w:r w:rsidRPr="000A7FD1">
        <w:t xml:space="preserve">The reconciliation of net cost </w:t>
      </w:r>
      <w:r w:rsidR="002B3D5C" w:rsidRPr="000A7FD1">
        <w:t>to net outlays</w:t>
      </w:r>
      <w:r w:rsidRPr="000A7FD1">
        <w:t xml:space="preserve"> reconciles the budgetary resources obligated for a</w:t>
      </w:r>
      <w:r w:rsidR="006B0800" w:rsidRPr="000A7FD1">
        <w:t>n</w:t>
      </w:r>
      <w:r w:rsidRPr="000A7FD1">
        <w:t xml:space="preserve"> entity’s programs and operations</w:t>
      </w:r>
      <w:r w:rsidR="00146C9C" w:rsidRPr="000A7FD1">
        <w:t>, which are</w:t>
      </w:r>
      <w:r w:rsidRPr="000A7FD1">
        <w:t xml:space="preserve"> shown on the statement of budgetary resources and determined using budgetary accounting with the net cost of operations shown on the statement of net </w:t>
      </w:r>
      <w:r w:rsidRPr="000A7FD1">
        <w:lastRenderedPageBreak/>
        <w:t>cost, which is determined using proprietary accounting.</w:t>
      </w:r>
    </w:p>
    <w:p w14:paraId="1FE0ACE7" w14:textId="235A9F3E" w:rsidR="009075CD" w:rsidRPr="000A7FD1" w:rsidRDefault="009075CD" w:rsidP="000D1813">
      <w:pPr>
        <w:pStyle w:val="FAM-Bullet-1"/>
        <w:numPr>
          <w:ilvl w:val="0"/>
          <w:numId w:val="39"/>
        </w:numPr>
      </w:pPr>
      <w:r w:rsidRPr="000A7FD1">
        <w:t xml:space="preserve">The entity records </w:t>
      </w:r>
      <w:r w:rsidRPr="000A7FD1">
        <w:rPr>
          <w:b/>
          <w:bCs/>
        </w:rPr>
        <w:t>expended authority</w:t>
      </w:r>
      <w:r w:rsidR="00384342" w:rsidRPr="000A7FD1">
        <w:rPr>
          <w:b/>
          <w:bCs/>
        </w:rPr>
        <w:t xml:space="preserve"> </w:t>
      </w:r>
      <w:r w:rsidR="00384342" w:rsidRPr="000A7FD1">
        <w:rPr>
          <w:bCs/>
        </w:rPr>
        <w:t>when the budget authority has been used</w:t>
      </w:r>
      <w:r w:rsidRPr="000A7FD1">
        <w:t xml:space="preserve">, </w:t>
      </w:r>
      <w:r w:rsidR="004C431A" w:rsidRPr="000A7FD1">
        <w:t>such as</w:t>
      </w:r>
      <w:r w:rsidRPr="000A7FD1">
        <w:t xml:space="preserve"> by the receipt and acceptance of goods </w:t>
      </w:r>
      <w:r w:rsidR="00B75FB1" w:rsidRPr="000A7FD1">
        <w:t xml:space="preserve">or </w:t>
      </w:r>
      <w:r w:rsidRPr="000A7FD1">
        <w:t>services ordered.</w:t>
      </w:r>
      <w:r w:rsidRPr="000A7FD1">
        <w:rPr>
          <w:rStyle w:val="FootnoteReference"/>
        </w:rPr>
        <w:footnoteReference w:id="15"/>
      </w:r>
    </w:p>
    <w:p w14:paraId="30A8665C" w14:textId="00730CBC" w:rsidR="003745DA" w:rsidRPr="000A7FD1" w:rsidRDefault="009075CD" w:rsidP="000D1813">
      <w:pPr>
        <w:pStyle w:val="FAM-Bullet-1"/>
        <w:numPr>
          <w:ilvl w:val="0"/>
          <w:numId w:val="39"/>
        </w:numPr>
      </w:pPr>
      <w:r w:rsidRPr="000A7FD1">
        <w:t xml:space="preserve">The entity records an </w:t>
      </w:r>
      <w:r w:rsidRPr="000A7FD1">
        <w:rPr>
          <w:b/>
          <w:bCs/>
        </w:rPr>
        <w:t>outlay</w:t>
      </w:r>
      <w:r w:rsidRPr="000A7FD1">
        <w:t>, which, as used in the President’s budget, congressional budget documents, and the statement of budgetary resources, refers to payments (cash disbursements) made to liquidate obligations. The statement of budgetary resources reconciles obligations incurred net of offsetting collections to net outlays.</w:t>
      </w:r>
    </w:p>
    <w:p w14:paraId="2CB53752" w14:textId="7CCB199F" w:rsidR="00FD22BD" w:rsidRPr="000A7FD1" w:rsidRDefault="0034687E" w:rsidP="000D1813">
      <w:pPr>
        <w:pStyle w:val="FAM-Bullet-1"/>
        <w:numPr>
          <w:ilvl w:val="0"/>
          <w:numId w:val="39"/>
        </w:numPr>
      </w:pPr>
      <w:r w:rsidRPr="000A7FD1">
        <w:t xml:space="preserve">The entity records a </w:t>
      </w:r>
      <w:proofErr w:type="spellStart"/>
      <w:r w:rsidRPr="000A7FD1">
        <w:rPr>
          <w:b/>
        </w:rPr>
        <w:t>deobligation</w:t>
      </w:r>
      <w:proofErr w:type="spellEnd"/>
      <w:r w:rsidRPr="000A7FD1">
        <w:t>,</w:t>
      </w:r>
      <w:r w:rsidR="009D345A" w:rsidRPr="000A7FD1">
        <w:t xml:space="preserve"> which is the entity’s cancellation or downward adjustment </w:t>
      </w:r>
      <w:r w:rsidR="008229E5" w:rsidRPr="000A7FD1">
        <w:t xml:space="preserve">(i.e., reduction) </w:t>
      </w:r>
      <w:r w:rsidR="009D345A" w:rsidRPr="000A7FD1">
        <w:t>of previously incurred obligations.</w:t>
      </w:r>
      <w:r w:rsidRPr="000A7FD1">
        <w:t xml:space="preserve"> </w:t>
      </w:r>
      <w:r w:rsidR="00FD22BD" w:rsidRPr="000A7FD1">
        <w:t>The</w:t>
      </w:r>
      <w:r w:rsidR="00FD22BD" w:rsidRPr="000A7FD1">
        <w:rPr>
          <w:strike/>
        </w:rPr>
        <w:t xml:space="preserve"> </w:t>
      </w:r>
      <w:r w:rsidR="00FD22BD" w:rsidRPr="000A7FD1">
        <w:t xml:space="preserve">entity should not </w:t>
      </w:r>
      <w:r w:rsidR="00891384" w:rsidRPr="000A7FD1">
        <w:t xml:space="preserve">cancel or </w:t>
      </w:r>
      <w:r w:rsidR="0055151F" w:rsidRPr="000A7FD1">
        <w:t>reduce</w:t>
      </w:r>
      <w:r w:rsidR="0018672C" w:rsidRPr="000A7FD1">
        <w:t xml:space="preserve"> an</w:t>
      </w:r>
      <w:r w:rsidR="009E4252" w:rsidRPr="000A7FD1">
        <w:t xml:space="preserve"> </w:t>
      </w:r>
      <w:r w:rsidR="00FD22BD" w:rsidRPr="000A7FD1">
        <w:t xml:space="preserve">obligation until </w:t>
      </w:r>
      <w:r w:rsidR="009E4252" w:rsidRPr="000A7FD1">
        <w:t xml:space="preserve">it has made </w:t>
      </w:r>
      <w:r w:rsidR="00BD5B15" w:rsidRPr="000A7FD1">
        <w:t xml:space="preserve">a formal </w:t>
      </w:r>
      <w:r w:rsidR="009E4252" w:rsidRPr="000A7FD1">
        <w:t>decision</w:t>
      </w:r>
      <w:r w:rsidR="00BD5B15" w:rsidRPr="000A7FD1">
        <w:t xml:space="preserve"> to </w:t>
      </w:r>
      <w:r w:rsidR="0055151F" w:rsidRPr="000A7FD1">
        <w:t>do so</w:t>
      </w:r>
      <w:r w:rsidR="00BD5B15" w:rsidRPr="000A7FD1">
        <w:t>, supported by any necessary documentation that has been fully executed (e.g.</w:t>
      </w:r>
      <w:r w:rsidR="00C32764" w:rsidRPr="000A7FD1">
        <w:t>,</w:t>
      </w:r>
      <w:r w:rsidR="00BD5B15" w:rsidRPr="000A7FD1">
        <w:t xml:space="preserve"> SF-30 for contract</w:t>
      </w:r>
      <w:r w:rsidR="00DC5970" w:rsidRPr="000A7FD1">
        <w:t xml:space="preserve"> amendments</w:t>
      </w:r>
      <w:r w:rsidR="00BD5B15" w:rsidRPr="000A7FD1">
        <w:t>)</w:t>
      </w:r>
      <w:r w:rsidR="009960B5" w:rsidRPr="000A7FD1">
        <w:t xml:space="preserve">. </w:t>
      </w:r>
      <w:r w:rsidR="00360ED8" w:rsidRPr="000A7FD1">
        <w:t xml:space="preserve">There may be specific statutory or other requirements concerning </w:t>
      </w:r>
      <w:proofErr w:type="spellStart"/>
      <w:r w:rsidR="00360ED8" w:rsidRPr="000A7FD1">
        <w:t>deobligation</w:t>
      </w:r>
      <w:proofErr w:type="spellEnd"/>
      <w:r w:rsidR="00360ED8" w:rsidRPr="000A7FD1">
        <w:t>. For example</w:t>
      </w:r>
      <w:r w:rsidR="009960B5" w:rsidRPr="000A7FD1">
        <w:t xml:space="preserve">, transactions authorized by the Economy Act are limited by the statutory requirement that the amount obligated by the ordering appropriation is required to be </w:t>
      </w:r>
      <w:proofErr w:type="spellStart"/>
      <w:r w:rsidR="009960B5" w:rsidRPr="000A7FD1">
        <w:t>deobligated</w:t>
      </w:r>
      <w:proofErr w:type="spellEnd"/>
      <w:r w:rsidR="009960B5" w:rsidRPr="000A7FD1">
        <w:t xml:space="preserve"> to the extent that the agency or unit filling the order has not incurred obligations before the end of the period of availability of the ordering appropriation. </w:t>
      </w:r>
      <w:r w:rsidR="00CD3EBE" w:rsidRPr="000A7FD1">
        <w:t xml:space="preserve">Additionally, there are stewardship reasons for timely </w:t>
      </w:r>
      <w:proofErr w:type="spellStart"/>
      <w:r w:rsidR="00CD3EBE" w:rsidRPr="000A7FD1">
        <w:t>deobligating</w:t>
      </w:r>
      <w:proofErr w:type="spellEnd"/>
      <w:r w:rsidR="00CD3EBE" w:rsidRPr="000A7FD1">
        <w:t xml:space="preserve"> funds.</w:t>
      </w:r>
    </w:p>
    <w:p w14:paraId="17095820" w14:textId="0459EBB0" w:rsidR="00C31412" w:rsidRPr="000A7FD1" w:rsidRDefault="00C31412" w:rsidP="000D1813">
      <w:pPr>
        <w:pStyle w:val="FAM-Bullet-1"/>
        <w:numPr>
          <w:ilvl w:val="0"/>
          <w:numId w:val="39"/>
        </w:numPr>
      </w:pPr>
      <w:r w:rsidRPr="000A7FD1">
        <w:t xml:space="preserve">When appropriations are </w:t>
      </w:r>
      <w:proofErr w:type="spellStart"/>
      <w:r w:rsidRPr="000A7FD1">
        <w:t>deobligated</w:t>
      </w:r>
      <w:proofErr w:type="spellEnd"/>
      <w:r w:rsidRPr="000A7FD1">
        <w:t xml:space="preserve"> before the expiration of the period of availability, the </w:t>
      </w:r>
      <w:proofErr w:type="spellStart"/>
      <w:r w:rsidRPr="000A7FD1">
        <w:t>deobligated</w:t>
      </w:r>
      <w:proofErr w:type="spellEnd"/>
      <w:r w:rsidRPr="000A7FD1">
        <w:t xml:space="preserve"> amount</w:t>
      </w:r>
      <w:r w:rsidRPr="000A7FD1">
        <w:rPr>
          <w:b/>
        </w:rPr>
        <w:t xml:space="preserve"> </w:t>
      </w:r>
      <w:r w:rsidRPr="000A7FD1">
        <w:t xml:space="preserve">is available for incurring new obligations for an authorized use. This means that annual appropriated funds may be </w:t>
      </w:r>
      <w:proofErr w:type="spellStart"/>
      <w:r w:rsidRPr="000A7FD1">
        <w:t>reobligated</w:t>
      </w:r>
      <w:proofErr w:type="spellEnd"/>
      <w:r w:rsidRPr="000A7FD1">
        <w:t xml:space="preserve"> in the fiscal year in which the funds were appropriated, while multiyear or no-year appropriated funds may be </w:t>
      </w:r>
      <w:proofErr w:type="spellStart"/>
      <w:r w:rsidRPr="000A7FD1">
        <w:t>reobligated</w:t>
      </w:r>
      <w:proofErr w:type="spellEnd"/>
      <w:r w:rsidRPr="000A7FD1">
        <w:t xml:space="preserve"> in the same or subsequent fiscal years. When appropriations are </w:t>
      </w:r>
      <w:proofErr w:type="spellStart"/>
      <w:r w:rsidRPr="000A7FD1">
        <w:t>deobligated</w:t>
      </w:r>
      <w:proofErr w:type="spellEnd"/>
      <w:r w:rsidRPr="000A7FD1">
        <w:t xml:space="preserve"> after the expiration of the period of availability, the </w:t>
      </w:r>
      <w:proofErr w:type="spellStart"/>
      <w:r w:rsidRPr="000A7FD1">
        <w:t>deobligated</w:t>
      </w:r>
      <w:proofErr w:type="spellEnd"/>
      <w:r w:rsidRPr="000A7FD1">
        <w:t xml:space="preserve"> amount is not available to incur a new obligation</w:t>
      </w:r>
      <w:r w:rsidR="002A065E" w:rsidRPr="000A7FD1">
        <w:t xml:space="preserve"> unless specifically authorized</w:t>
      </w:r>
      <w:r w:rsidRPr="000A7FD1">
        <w:t>; however, th</w:t>
      </w:r>
      <w:r w:rsidR="002A065E" w:rsidRPr="000A7FD1">
        <w:t xml:space="preserve">e </w:t>
      </w:r>
      <w:proofErr w:type="spellStart"/>
      <w:r w:rsidR="002A065E" w:rsidRPr="000A7FD1">
        <w:t>deobligated</w:t>
      </w:r>
      <w:proofErr w:type="spellEnd"/>
      <w:r w:rsidRPr="000A7FD1">
        <w:t xml:space="preserve"> amount is available to cover appropriate adjustments to obligations in the expired account. </w:t>
      </w:r>
      <w:proofErr w:type="spellStart"/>
      <w:r w:rsidRPr="000A7FD1">
        <w:t>Deobligated</w:t>
      </w:r>
      <w:proofErr w:type="spellEnd"/>
      <w:r w:rsidRPr="000A7FD1">
        <w:t xml:space="preserve"> no-year funds are generally available for obligation on the same basis as if they had never been obligated. </w:t>
      </w:r>
    </w:p>
    <w:p w14:paraId="354DE03D" w14:textId="58BC4A3C" w:rsidR="008D745B" w:rsidRPr="000A7FD1" w:rsidRDefault="008D745B" w:rsidP="000D1813">
      <w:pPr>
        <w:pStyle w:val="FAM-Bullet-1"/>
        <w:numPr>
          <w:ilvl w:val="0"/>
          <w:numId w:val="39"/>
        </w:numPr>
      </w:pPr>
      <w:r w:rsidRPr="000A7FD1">
        <w:t xml:space="preserve">The appropriation account </w:t>
      </w:r>
      <w:r w:rsidRPr="000A7FD1">
        <w:rPr>
          <w:b/>
          <w:bCs/>
        </w:rPr>
        <w:t>expires</w:t>
      </w:r>
      <w:r w:rsidRPr="000A7FD1">
        <w:t xml:space="preserve"> when, according to </w:t>
      </w:r>
      <w:r w:rsidR="00D41508" w:rsidRPr="000A7FD1">
        <w:t xml:space="preserve">time </w:t>
      </w:r>
      <w:r w:rsidRPr="000A7FD1">
        <w:t xml:space="preserve">restrictions contained in the appropriation, the appropriation is no longer available for </w:t>
      </w:r>
      <w:r w:rsidRPr="000A7FD1">
        <w:lastRenderedPageBreak/>
        <w:t>new obligations.</w:t>
      </w:r>
      <w:r w:rsidRPr="000A7FD1">
        <w:rPr>
          <w:rStyle w:val="FootnoteReference"/>
        </w:rPr>
        <w:footnoteReference w:id="16"/>
      </w:r>
      <w:r w:rsidRPr="000A7FD1">
        <w:t xml:space="preserve"> Adjustments may be made for valid obligations that were either (1) recorded at an estimated amount that differs from the actual amount</w:t>
      </w:r>
      <w:r w:rsidRPr="000A7FD1">
        <w:rPr>
          <w:rStyle w:val="FootnoteReference"/>
        </w:rPr>
        <w:footnoteReference w:id="17"/>
      </w:r>
      <w:r w:rsidRPr="000A7FD1">
        <w:t xml:space="preserve"> or (2) incurred before the authority expired but not recorded. Adjustments may be recorded for 5 years after the appropriation expires. For both expired accounts and closed accounts, the entity’s obligations and expenditures may not exceed the related budget authority. See OMB Circular No. A-11, part 4, for additional guidance on these types of adjustments and transactions.</w:t>
      </w:r>
    </w:p>
    <w:p w14:paraId="07A04547" w14:textId="77777777" w:rsidR="008D745B" w:rsidRPr="000A7FD1" w:rsidRDefault="008D745B" w:rsidP="008D745B">
      <w:pPr>
        <w:pStyle w:val="FAMContinuation2"/>
      </w:pPr>
      <w:r w:rsidRPr="000A7FD1">
        <w:t xml:space="preserve">Examples of valid adjustments to expired accounts within the 5-year period include adjustments for </w:t>
      </w:r>
    </w:p>
    <w:p w14:paraId="2A8E625A" w14:textId="77777777" w:rsidR="008D745B" w:rsidRPr="000A7FD1" w:rsidRDefault="008D745B" w:rsidP="000D1813">
      <w:pPr>
        <w:pStyle w:val="StyleFAMBullet2"/>
        <w:numPr>
          <w:ilvl w:val="0"/>
          <w:numId w:val="70"/>
        </w:numPr>
      </w:pPr>
      <w:r w:rsidRPr="000A7FD1">
        <w:t xml:space="preserve">canceled orders or orders for which delivery is no longer likely, </w:t>
      </w:r>
    </w:p>
    <w:p w14:paraId="335FDAF5" w14:textId="77777777" w:rsidR="008D745B" w:rsidRPr="000A7FD1" w:rsidRDefault="008D745B" w:rsidP="000D1813">
      <w:pPr>
        <w:pStyle w:val="StyleFAMBullet2"/>
        <w:numPr>
          <w:ilvl w:val="0"/>
          <w:numId w:val="70"/>
        </w:numPr>
      </w:pPr>
      <w:r w:rsidRPr="000A7FD1">
        <w:t xml:space="preserve">refunds received in the current period that relate to recovery of erroneous payments or accounting errors, </w:t>
      </w:r>
    </w:p>
    <w:p w14:paraId="7F5FAEAF" w14:textId="77777777" w:rsidR="008D745B" w:rsidRPr="000A7FD1" w:rsidRDefault="008D745B" w:rsidP="000D1813">
      <w:pPr>
        <w:pStyle w:val="StyleFAMBullet2"/>
        <w:numPr>
          <w:ilvl w:val="0"/>
          <w:numId w:val="70"/>
        </w:numPr>
      </w:pPr>
      <w:r w:rsidRPr="000A7FD1">
        <w:t>legal and valid obligations that were previously unrecorded, and</w:t>
      </w:r>
    </w:p>
    <w:p w14:paraId="14BD6CEF" w14:textId="77777777" w:rsidR="008D745B" w:rsidRPr="000A7FD1" w:rsidRDefault="008D745B" w:rsidP="000D1813">
      <w:pPr>
        <w:pStyle w:val="StyleFAMBullet2"/>
        <w:numPr>
          <w:ilvl w:val="0"/>
          <w:numId w:val="70"/>
        </w:numPr>
      </w:pPr>
      <w:r w:rsidRPr="000A7FD1">
        <w:t>differences between the estimated and actual obligation amounts.</w:t>
      </w:r>
    </w:p>
    <w:p w14:paraId="1845AB8A" w14:textId="64CC3A5B" w:rsidR="009075CD" w:rsidRPr="000A7FD1" w:rsidRDefault="009075CD" w:rsidP="000D1813">
      <w:pPr>
        <w:pStyle w:val="FAM-Bullet-1"/>
        <w:numPr>
          <w:ilvl w:val="0"/>
          <w:numId w:val="39"/>
        </w:numPr>
      </w:pPr>
      <w:r w:rsidRPr="000A7FD1">
        <w:t xml:space="preserve">After the 5-year period, the budget authority for the expired accounts is </w:t>
      </w:r>
      <w:r w:rsidRPr="000A7FD1">
        <w:rPr>
          <w:b/>
          <w:bCs/>
        </w:rPr>
        <w:t>canceled</w:t>
      </w:r>
      <w:r w:rsidRPr="000A7FD1">
        <w:t xml:space="preserve"> and the expired accounts are </w:t>
      </w:r>
      <w:r w:rsidRPr="000A7FD1">
        <w:rPr>
          <w:b/>
          <w:bCs/>
        </w:rPr>
        <w:t>closed</w:t>
      </w:r>
      <w:r w:rsidRPr="000A7FD1">
        <w:t>.</w:t>
      </w:r>
      <w:r w:rsidRPr="000A7FD1">
        <w:rPr>
          <w:rStyle w:val="FootnoteReference"/>
        </w:rPr>
        <w:footnoteReference w:id="18"/>
      </w:r>
      <w:r w:rsidRPr="000A7FD1">
        <w:t xml:space="preserve"> No further adjustments or outlays may be made in those closed accounts. Payments for any unliquidated obligations in closed accounts may be made from unexpired appropriations that have the same general purpose (but are limited in aggregate to 1 percent of the </w:t>
      </w:r>
      <w:r w:rsidR="00210EDA" w:rsidRPr="000A7FD1">
        <w:t>current-</w:t>
      </w:r>
      <w:r w:rsidRPr="000A7FD1">
        <w:t>year appropriation). For both expired accounts and closed accounts, the entity’s obligations and expenditures may not exceed the related budget authority. See OMB Circular No. A-11, part 4, for additional guidance on these types of adjustments and transactions.</w:t>
      </w:r>
    </w:p>
    <w:p w14:paraId="7DC288B7" w14:textId="77777777" w:rsidR="00C31412" w:rsidRPr="000A7FD1" w:rsidRDefault="00C31412" w:rsidP="00F35235">
      <w:pPr>
        <w:pStyle w:val="FAM-Bullet-1"/>
        <w:ind w:left="1800"/>
      </w:pPr>
    </w:p>
    <w:p w14:paraId="667E8E80" w14:textId="77777777" w:rsidR="003B7FF9" w:rsidRPr="000A7FD1" w:rsidRDefault="003B7FF9" w:rsidP="008B734E">
      <w:pPr>
        <w:pStyle w:val="FAM-Bullet-1"/>
      </w:pPr>
    </w:p>
    <w:p w14:paraId="202DA469" w14:textId="77777777" w:rsidR="003B7FF9" w:rsidRPr="000A7FD1" w:rsidRDefault="003B7FF9" w:rsidP="008B734E">
      <w:pPr>
        <w:pStyle w:val="FAM-Bullet-1"/>
      </w:pPr>
    </w:p>
    <w:p w14:paraId="120916CE" w14:textId="77777777" w:rsidR="003B7FF9" w:rsidRPr="000A7FD1" w:rsidRDefault="003B7FF9" w:rsidP="004A102E">
      <w:pPr>
        <w:pStyle w:val="FAM-Subsection"/>
        <w:numPr>
          <w:ilvl w:val="0"/>
          <w:numId w:val="0"/>
        </w:numPr>
        <w:sectPr w:rsidR="003B7FF9" w:rsidRPr="000A7FD1" w:rsidSect="00666BFE">
          <w:headerReference w:type="even" r:id="rId57"/>
          <w:headerReference w:type="default" r:id="rId58"/>
          <w:footerReference w:type="even" r:id="rId59"/>
          <w:footerReference w:type="default" r:id="rId60"/>
          <w:headerReference w:type="first" r:id="rId61"/>
          <w:footerReference w:type="first" r:id="rId62"/>
          <w:endnotePr>
            <w:numFmt w:val="decimal"/>
          </w:endnotePr>
          <w:pgSz w:w="12240" w:h="15840"/>
          <w:pgMar w:top="1080" w:right="1440" w:bottom="1080" w:left="1080" w:header="720" w:footer="720" w:gutter="360"/>
          <w:pgNumType w:start="1"/>
          <w:cols w:space="720"/>
          <w:noEndnote/>
          <w:docGrid w:linePitch="326"/>
        </w:sectPr>
      </w:pPr>
    </w:p>
    <w:p w14:paraId="01BC9B55" w14:textId="77777777" w:rsidR="00A04DF5" w:rsidRPr="000A7FD1" w:rsidRDefault="00BC44BB" w:rsidP="00713125">
      <w:pPr>
        <w:pStyle w:val="Heading2FAM"/>
      </w:pPr>
      <w:r w:rsidRPr="000A7FD1">
        <w:lastRenderedPageBreak/>
        <w:t xml:space="preserve">395 F </w:t>
      </w:r>
      <w:r w:rsidR="004C25AA" w:rsidRPr="000A7FD1">
        <w:t>–</w:t>
      </w:r>
      <w:r w:rsidRPr="000A7FD1">
        <w:t xml:space="preserve"> Budget Control Objectives</w:t>
      </w:r>
    </w:p>
    <w:p w14:paraId="3B9FABB9" w14:textId="31B97383" w:rsidR="00A04DF5" w:rsidRPr="000A7FD1" w:rsidRDefault="00A04DF5" w:rsidP="00CC7A2D">
      <w:pPr>
        <w:pStyle w:val="FAM-Subsection"/>
        <w:numPr>
          <w:ilvl w:val="0"/>
          <w:numId w:val="25"/>
        </w:numPr>
      </w:pPr>
      <w:r w:rsidRPr="000A7FD1">
        <w:t xml:space="preserve">This section lists budget control objectives by steps in the budget process. The auditor may use these control objectives for the audit of the statement of budgetary resources and the reconciliation of net cost to </w:t>
      </w:r>
      <w:r w:rsidR="002B3D5C" w:rsidRPr="000A7FD1">
        <w:t>net outlays</w:t>
      </w:r>
      <w:r w:rsidRPr="000A7FD1">
        <w:t>, the evaluation of financial reporting controls</w:t>
      </w:r>
      <w:r w:rsidR="006947EC" w:rsidRPr="000A7FD1">
        <w:t xml:space="preserve">, </w:t>
      </w:r>
      <w:r w:rsidRPr="000A7FD1">
        <w:t xml:space="preserve">or the evaluation of compliance controls. The auditor may evaluate the design of many of these controls </w:t>
      </w:r>
      <w:r w:rsidR="00744F03" w:rsidRPr="000A7FD1">
        <w:t>when</w:t>
      </w:r>
      <w:r w:rsidRPr="000A7FD1">
        <w:t xml:space="preserve"> evaluating the design of controls over expenses, disbursements, and liabilities. When testing control effectiveness, the auditor may test these controls at the same time, which is referred to as multipurpose testing.</w:t>
      </w:r>
    </w:p>
    <w:p w14:paraId="778BB99D" w14:textId="4A78B3A4" w:rsidR="00A04DF5" w:rsidRPr="000A7FD1" w:rsidRDefault="00A04DF5" w:rsidP="00CC7A2D">
      <w:pPr>
        <w:pStyle w:val="FAM-Bullet-2"/>
        <w:numPr>
          <w:ilvl w:val="0"/>
          <w:numId w:val="21"/>
        </w:numPr>
        <w:rPr>
          <w:rFonts w:ascii="Arial" w:hAnsi="Arial" w:cs="Arial"/>
          <w:sz w:val="22"/>
        </w:rPr>
      </w:pPr>
      <w:r w:rsidRPr="000A7FD1">
        <w:rPr>
          <w:rFonts w:ascii="Arial" w:hAnsi="Arial" w:cs="Arial"/>
          <w:b/>
          <w:sz w:val="22"/>
        </w:rPr>
        <w:t>Appropriations (or other forms of budget authority)</w:t>
      </w:r>
      <w:r w:rsidR="00825196" w:rsidRPr="000A7FD1">
        <w:rPr>
          <w:rFonts w:ascii="Arial" w:hAnsi="Arial" w:cs="Arial"/>
          <w:b/>
          <w:sz w:val="22"/>
        </w:rPr>
        <w:t>.</w:t>
      </w:r>
      <w:r w:rsidRPr="000A7FD1">
        <w:rPr>
          <w:rFonts w:ascii="Arial" w:hAnsi="Arial" w:cs="Arial"/>
          <w:sz w:val="22"/>
        </w:rPr>
        <w:t xml:space="preserve"> The recorded appropriation (or other form of budget authority) is the same as that made available in the appropriation or other appropriate </w:t>
      </w:r>
      <w:r w:rsidR="00E27880" w:rsidRPr="000A7FD1">
        <w:rPr>
          <w:rFonts w:ascii="Arial" w:hAnsi="Arial" w:cs="Arial"/>
          <w:sz w:val="22"/>
        </w:rPr>
        <w:t>statutes</w:t>
      </w:r>
      <w:r w:rsidRPr="000A7FD1">
        <w:rPr>
          <w:rFonts w:ascii="Arial" w:hAnsi="Arial" w:cs="Arial"/>
          <w:sz w:val="22"/>
        </w:rPr>
        <w:t>, including restrictions on amount, purpose, and timing.</w:t>
      </w:r>
    </w:p>
    <w:p w14:paraId="465CB1F9" w14:textId="139089B3" w:rsidR="00A04DF5" w:rsidRPr="000A7FD1" w:rsidRDefault="00A04DF5" w:rsidP="00CC7A2D">
      <w:pPr>
        <w:pStyle w:val="FAM-Bullet-2"/>
        <w:numPr>
          <w:ilvl w:val="0"/>
          <w:numId w:val="21"/>
        </w:numPr>
        <w:rPr>
          <w:rFonts w:ascii="Arial" w:hAnsi="Arial" w:cs="Arial"/>
          <w:sz w:val="22"/>
        </w:rPr>
      </w:pPr>
      <w:r w:rsidRPr="000A7FD1">
        <w:rPr>
          <w:rFonts w:ascii="Arial" w:hAnsi="Arial" w:cs="Arial"/>
          <w:b/>
          <w:sz w:val="22"/>
        </w:rPr>
        <w:t>Apportionments</w:t>
      </w:r>
      <w:r w:rsidR="00825196" w:rsidRPr="000A7FD1">
        <w:rPr>
          <w:rFonts w:ascii="Arial" w:hAnsi="Arial" w:cs="Arial"/>
          <w:b/>
          <w:sz w:val="22"/>
        </w:rPr>
        <w:t>.</w:t>
      </w:r>
      <w:r w:rsidRPr="000A7FD1">
        <w:rPr>
          <w:rFonts w:ascii="Arial" w:hAnsi="Arial" w:cs="Arial"/>
          <w:sz w:val="22"/>
        </w:rPr>
        <w:t xml:space="preserve"> The recorded apportionments agree with the OMB apportionments (as indicated on the apportionment schedules), and the total amount apportioned does not exceed the total amount appropriated.</w:t>
      </w:r>
      <w:r w:rsidR="008A7986" w:rsidRPr="000A7FD1">
        <w:rPr>
          <w:rStyle w:val="FootnoteReference"/>
          <w:rFonts w:ascii="Arial" w:hAnsi="Arial" w:cs="Arial"/>
          <w:sz w:val="22"/>
        </w:rPr>
        <w:footnoteReference w:id="19"/>
      </w:r>
      <w:r w:rsidRPr="000A7FD1">
        <w:rPr>
          <w:rFonts w:ascii="Arial" w:hAnsi="Arial" w:cs="Arial"/>
          <w:sz w:val="22"/>
        </w:rPr>
        <w:t xml:space="preserve"> </w:t>
      </w:r>
    </w:p>
    <w:p w14:paraId="6D2473B2" w14:textId="2AFF59D1" w:rsidR="00A04DF5" w:rsidRPr="000A7FD1" w:rsidRDefault="00A04DF5" w:rsidP="00CC7A2D">
      <w:pPr>
        <w:pStyle w:val="FAM-Bullet-2"/>
        <w:numPr>
          <w:ilvl w:val="0"/>
          <w:numId w:val="21"/>
        </w:numPr>
        <w:rPr>
          <w:rFonts w:ascii="Arial" w:hAnsi="Arial" w:cs="Arial"/>
          <w:sz w:val="22"/>
        </w:rPr>
      </w:pPr>
      <w:r w:rsidRPr="000A7FD1">
        <w:rPr>
          <w:rFonts w:ascii="Arial" w:hAnsi="Arial" w:cs="Arial"/>
          <w:b/>
          <w:sz w:val="22"/>
        </w:rPr>
        <w:t>Allotments/</w:t>
      </w:r>
      <w:proofErr w:type="spellStart"/>
      <w:r w:rsidRPr="000A7FD1">
        <w:rPr>
          <w:rFonts w:ascii="Arial" w:hAnsi="Arial" w:cs="Arial"/>
          <w:b/>
          <w:sz w:val="22"/>
        </w:rPr>
        <w:t>suballotments</w:t>
      </w:r>
      <w:proofErr w:type="spellEnd"/>
      <w:r w:rsidR="00825196" w:rsidRPr="000A7FD1">
        <w:rPr>
          <w:rFonts w:ascii="Arial" w:hAnsi="Arial" w:cs="Arial"/>
          <w:b/>
          <w:sz w:val="22"/>
        </w:rPr>
        <w:t>.</w:t>
      </w:r>
      <w:r w:rsidRPr="000A7FD1">
        <w:rPr>
          <w:rFonts w:ascii="Arial" w:hAnsi="Arial" w:cs="Arial"/>
          <w:sz w:val="22"/>
        </w:rPr>
        <w:t xml:space="preserve"> The total amount allotted does not exceed the total amount apportioned.</w:t>
      </w:r>
    </w:p>
    <w:p w14:paraId="2A77767E" w14:textId="21256CD6" w:rsidR="00A04DF5" w:rsidRPr="000A7FD1" w:rsidRDefault="00A04DF5" w:rsidP="00CC7A2D">
      <w:pPr>
        <w:pStyle w:val="FAM-Bullet-2"/>
        <w:numPr>
          <w:ilvl w:val="0"/>
          <w:numId w:val="21"/>
        </w:numPr>
        <w:rPr>
          <w:rFonts w:ascii="Arial" w:hAnsi="Arial" w:cs="Arial"/>
          <w:sz w:val="22"/>
        </w:rPr>
      </w:pPr>
      <w:r w:rsidRPr="000A7FD1">
        <w:rPr>
          <w:rFonts w:ascii="Arial" w:hAnsi="Arial" w:cs="Arial"/>
          <w:b/>
          <w:sz w:val="22"/>
        </w:rPr>
        <w:t>Commitments</w:t>
      </w:r>
      <w:r w:rsidR="00825196" w:rsidRPr="000A7FD1">
        <w:rPr>
          <w:rFonts w:ascii="Arial" w:hAnsi="Arial" w:cs="Arial"/>
          <w:b/>
          <w:sz w:val="22"/>
        </w:rPr>
        <w:t>.</w:t>
      </w:r>
      <w:r w:rsidRPr="000A7FD1">
        <w:rPr>
          <w:rFonts w:ascii="Arial" w:hAnsi="Arial" w:cs="Arial"/>
          <w:sz w:val="22"/>
        </w:rPr>
        <w:t xml:space="preserve"> The auditor may not be concerned with controls over budgetary commitments because commitments are not required by law or regulation nor are they formal/official uses of budget authority. Controls over budgetary commitments are a type of operations control.</w:t>
      </w:r>
    </w:p>
    <w:p w14:paraId="440978F2" w14:textId="6B8CAE98" w:rsidR="00A04DF5" w:rsidRPr="000A7FD1" w:rsidRDefault="00A04DF5" w:rsidP="008B6636">
      <w:pPr>
        <w:pStyle w:val="FAMContinuation2"/>
      </w:pPr>
      <w:r w:rsidRPr="000A7FD1">
        <w:t>The auditor generally should evaluate the design of controls over commitments if the entity relies on controls over commitments to achieve the control objectives relating to obligations. If the auditor evaluates the design of controls over commitments, the auditor generally should use the same control objectives as used for obligations and expenditures, as discussed below. The auditor should test the operation of those controls that are designed and implemented</w:t>
      </w:r>
      <w:r w:rsidR="00264469" w:rsidRPr="000A7FD1">
        <w:t xml:space="preserve"> effectively</w:t>
      </w:r>
      <w:r w:rsidRPr="000A7FD1">
        <w:t>.</w:t>
      </w:r>
    </w:p>
    <w:p w14:paraId="3A71A618" w14:textId="33CD1347" w:rsidR="00A04DF5" w:rsidRPr="000A7FD1" w:rsidRDefault="00A04DF5" w:rsidP="00CC7A2D">
      <w:pPr>
        <w:pStyle w:val="FAM-Bullet-2"/>
        <w:numPr>
          <w:ilvl w:val="0"/>
          <w:numId w:val="21"/>
        </w:numPr>
        <w:rPr>
          <w:rFonts w:ascii="Arial" w:hAnsi="Arial" w:cs="Arial"/>
          <w:sz w:val="22"/>
        </w:rPr>
      </w:pPr>
      <w:r w:rsidRPr="000A7FD1">
        <w:rPr>
          <w:rFonts w:ascii="Arial" w:hAnsi="Arial" w:cs="Arial"/>
          <w:b/>
          <w:sz w:val="22"/>
        </w:rPr>
        <w:t>Obligation transactions</w:t>
      </w:r>
      <w:r w:rsidR="00825196" w:rsidRPr="000A7FD1">
        <w:rPr>
          <w:rFonts w:ascii="Arial" w:hAnsi="Arial" w:cs="Arial"/>
          <w:b/>
          <w:sz w:val="22"/>
        </w:rPr>
        <w:t>.</w:t>
      </w:r>
      <w:r w:rsidRPr="000A7FD1">
        <w:rPr>
          <w:rFonts w:ascii="Arial" w:hAnsi="Arial" w:cs="Arial"/>
          <w:sz w:val="22"/>
        </w:rPr>
        <w:t xml:space="preserve"> The control objectives relating to obligation transactions are</w:t>
      </w:r>
      <w:r w:rsidR="006266BA" w:rsidRPr="000A7FD1">
        <w:rPr>
          <w:rFonts w:ascii="Arial" w:hAnsi="Arial" w:cs="Arial"/>
          <w:sz w:val="22"/>
        </w:rPr>
        <w:t xml:space="preserve"> as follows</w:t>
      </w:r>
      <w:r w:rsidRPr="000A7FD1">
        <w:rPr>
          <w:rFonts w:ascii="Arial" w:hAnsi="Arial" w:cs="Arial"/>
          <w:sz w:val="22"/>
        </w:rPr>
        <w:t>:</w:t>
      </w:r>
    </w:p>
    <w:p w14:paraId="34FDB9D1" w14:textId="5D6953D9" w:rsidR="00A04DF5" w:rsidRPr="000A7FD1" w:rsidRDefault="00A04DF5" w:rsidP="006B46F1">
      <w:pPr>
        <w:pStyle w:val="FAM-Bullet-2"/>
        <w:numPr>
          <w:ilvl w:val="0"/>
          <w:numId w:val="8"/>
        </w:numPr>
        <w:rPr>
          <w:rFonts w:ascii="Arial" w:hAnsi="Arial" w:cs="Arial"/>
          <w:sz w:val="22"/>
        </w:rPr>
      </w:pPr>
      <w:r w:rsidRPr="000A7FD1">
        <w:rPr>
          <w:rFonts w:ascii="Arial" w:hAnsi="Arial" w:cs="Arial"/>
          <w:b/>
          <w:sz w:val="22"/>
        </w:rPr>
        <w:t>Validity/occurrence</w:t>
      </w:r>
      <w:r w:rsidR="00825196" w:rsidRPr="000A7FD1">
        <w:rPr>
          <w:rFonts w:ascii="Arial" w:hAnsi="Arial" w:cs="Arial"/>
          <w:b/>
          <w:sz w:val="22"/>
        </w:rPr>
        <w:t>.</w:t>
      </w:r>
      <w:r w:rsidRPr="000A7FD1">
        <w:rPr>
          <w:rFonts w:ascii="Arial" w:hAnsi="Arial" w:cs="Arial"/>
          <w:sz w:val="22"/>
        </w:rPr>
        <w:t xml:space="preserve"> Obligations recorded are valid. An obligation is valid only if it meets these criteria:</w:t>
      </w:r>
    </w:p>
    <w:p w14:paraId="04CE4B44" w14:textId="432E34F9" w:rsidR="00A04DF5" w:rsidRPr="000A7FD1" w:rsidRDefault="00A04DF5" w:rsidP="006B46F1">
      <w:pPr>
        <w:pStyle w:val="FAM-Bullet-2"/>
        <w:numPr>
          <w:ilvl w:val="1"/>
          <w:numId w:val="8"/>
        </w:numPr>
        <w:tabs>
          <w:tab w:val="clear" w:pos="2880"/>
        </w:tabs>
        <w:ind w:left="2520"/>
        <w:rPr>
          <w:rFonts w:ascii="Arial" w:hAnsi="Arial" w:cs="Arial"/>
          <w:sz w:val="22"/>
        </w:rPr>
      </w:pPr>
      <w:r w:rsidRPr="000A7FD1">
        <w:rPr>
          <w:rFonts w:ascii="Arial" w:hAnsi="Arial" w:cs="Arial"/>
          <w:sz w:val="22"/>
        </w:rPr>
        <w:t>The obligation has been incurred</w:t>
      </w:r>
      <w:r w:rsidR="00D74D93" w:rsidRPr="000A7FD1">
        <w:rPr>
          <w:rFonts w:ascii="Arial" w:hAnsi="Arial" w:cs="Arial"/>
          <w:sz w:val="22"/>
        </w:rPr>
        <w:t xml:space="preserve"> and represents </w:t>
      </w:r>
      <w:r w:rsidR="00D50919" w:rsidRPr="000A7FD1">
        <w:rPr>
          <w:rFonts w:ascii="Arial" w:hAnsi="Arial" w:cs="Arial"/>
          <w:sz w:val="22"/>
        </w:rPr>
        <w:t xml:space="preserve">a </w:t>
      </w:r>
      <w:r w:rsidR="000C1B70" w:rsidRPr="000A7FD1">
        <w:rPr>
          <w:rFonts w:ascii="Arial" w:hAnsi="Arial" w:cs="Arial"/>
          <w:sz w:val="22"/>
        </w:rPr>
        <w:t>valid obligation.</w:t>
      </w:r>
      <w:r w:rsidRPr="000A7FD1">
        <w:rPr>
          <w:rFonts w:ascii="Arial" w:hAnsi="Arial" w:cs="Arial"/>
          <w:sz w:val="22"/>
        </w:rPr>
        <w:t xml:space="preserve"> This is usually evidenced by appropriate supporting documentation, such as a purchase order or contract.</w:t>
      </w:r>
    </w:p>
    <w:p w14:paraId="792A15FD" w14:textId="1B2E7DF9" w:rsidR="00A04DF5" w:rsidRPr="000A7FD1" w:rsidRDefault="00A04DF5" w:rsidP="000A369D">
      <w:pPr>
        <w:pStyle w:val="FAM-Bullet-2"/>
        <w:numPr>
          <w:ilvl w:val="0"/>
          <w:numId w:val="0"/>
        </w:numPr>
        <w:ind w:left="2520"/>
        <w:rPr>
          <w:rFonts w:ascii="Arial" w:hAnsi="Arial" w:cs="Arial"/>
          <w:sz w:val="22"/>
        </w:rPr>
      </w:pPr>
      <w:r w:rsidRPr="000A7FD1">
        <w:rPr>
          <w:rFonts w:ascii="Arial" w:hAnsi="Arial" w:cs="Arial"/>
          <w:sz w:val="22"/>
        </w:rPr>
        <w:t xml:space="preserve">The auditor may look for instances of “block obligating” or “block dumping,” which occur when an entity records obligations to “reserve” funds even though the goods or services have not been ordered. This is most likely to occur near the expiration of an appropriation and </w:t>
      </w:r>
      <w:r w:rsidRPr="000A7FD1">
        <w:rPr>
          <w:rFonts w:ascii="Arial" w:hAnsi="Arial" w:cs="Arial"/>
          <w:sz w:val="22"/>
        </w:rPr>
        <w:lastRenderedPageBreak/>
        <w:t>usually occurs in large dollar services and equipment contracts. The auditor may look for such signs as large, even-amount obligations near the end of the fiscal year for annual appropriations or during the last year of a multiyear appropriation account.</w:t>
      </w:r>
    </w:p>
    <w:p w14:paraId="5E9A8425" w14:textId="77777777" w:rsidR="00A04DF5" w:rsidRPr="000A7FD1" w:rsidRDefault="00A04DF5" w:rsidP="006B46F1">
      <w:pPr>
        <w:pStyle w:val="FAM-Bullet-2"/>
        <w:numPr>
          <w:ilvl w:val="1"/>
          <w:numId w:val="8"/>
        </w:numPr>
        <w:tabs>
          <w:tab w:val="clear" w:pos="2880"/>
        </w:tabs>
        <w:ind w:left="2520"/>
        <w:rPr>
          <w:rFonts w:ascii="Arial" w:hAnsi="Arial" w:cs="Arial"/>
          <w:sz w:val="22"/>
        </w:rPr>
      </w:pPr>
      <w:r w:rsidRPr="000A7FD1">
        <w:rPr>
          <w:rFonts w:ascii="Arial" w:hAnsi="Arial" w:cs="Arial"/>
          <w:sz w:val="22"/>
        </w:rPr>
        <w:t>The purpose of the obligation is one for which the appropriation was made.</w:t>
      </w:r>
    </w:p>
    <w:p w14:paraId="68CC5562" w14:textId="77777777" w:rsidR="00A04DF5" w:rsidRPr="000A7FD1" w:rsidRDefault="00A04DF5" w:rsidP="006B46F1">
      <w:pPr>
        <w:pStyle w:val="FAM-Bullet-2"/>
        <w:numPr>
          <w:ilvl w:val="1"/>
          <w:numId w:val="8"/>
        </w:numPr>
        <w:tabs>
          <w:tab w:val="clear" w:pos="2880"/>
        </w:tabs>
        <w:ind w:left="2520"/>
        <w:rPr>
          <w:rFonts w:ascii="Arial" w:hAnsi="Arial" w:cs="Arial"/>
          <w:sz w:val="22"/>
        </w:rPr>
      </w:pPr>
      <w:r w:rsidRPr="000A7FD1">
        <w:rPr>
          <w:rFonts w:ascii="Arial" w:hAnsi="Arial" w:cs="Arial"/>
          <w:sz w:val="22"/>
        </w:rPr>
        <w:t>The obligation was incurred within the time that the appropriation was made available for new obligations.</w:t>
      </w:r>
    </w:p>
    <w:p w14:paraId="01F4778F" w14:textId="77777777" w:rsidR="00A04DF5" w:rsidRPr="000A7FD1" w:rsidRDefault="00A04DF5" w:rsidP="006B46F1">
      <w:pPr>
        <w:pStyle w:val="FAM-Bullet-2"/>
        <w:numPr>
          <w:ilvl w:val="1"/>
          <w:numId w:val="8"/>
        </w:numPr>
        <w:tabs>
          <w:tab w:val="clear" w:pos="2880"/>
        </w:tabs>
        <w:ind w:left="2520"/>
        <w:rPr>
          <w:rFonts w:ascii="Arial" w:hAnsi="Arial" w:cs="Arial"/>
          <w:sz w:val="22"/>
        </w:rPr>
      </w:pPr>
      <w:r w:rsidRPr="000A7FD1">
        <w:rPr>
          <w:rFonts w:ascii="Arial" w:hAnsi="Arial" w:cs="Arial"/>
          <w:sz w:val="22"/>
        </w:rPr>
        <w:t>The obligation did not exceed the amount allotted or appropriated by statute nor was it incurred before the appropriation became law, unless otherwise provided by law.</w:t>
      </w:r>
    </w:p>
    <w:p w14:paraId="1A9B4C18" w14:textId="77777777" w:rsidR="00A04DF5" w:rsidRPr="000A7FD1" w:rsidRDefault="00A04DF5" w:rsidP="006B46F1">
      <w:pPr>
        <w:pStyle w:val="FAM-Bullet-2"/>
        <w:numPr>
          <w:ilvl w:val="1"/>
          <w:numId w:val="8"/>
        </w:numPr>
        <w:tabs>
          <w:tab w:val="clear" w:pos="2880"/>
        </w:tabs>
        <w:ind w:left="2520"/>
        <w:rPr>
          <w:rFonts w:ascii="Arial" w:hAnsi="Arial" w:cs="Arial"/>
          <w:sz w:val="22"/>
        </w:rPr>
      </w:pPr>
      <w:r w:rsidRPr="000A7FD1">
        <w:rPr>
          <w:rFonts w:ascii="Arial" w:hAnsi="Arial" w:cs="Arial"/>
          <w:sz w:val="22"/>
        </w:rPr>
        <w:t>The obligation complies with any other legally binding restrictions, such as obligation ceilings or earmarks, identified in the planning phase.</w:t>
      </w:r>
    </w:p>
    <w:p w14:paraId="52C2EF77" w14:textId="3E218290" w:rsidR="00A04DF5" w:rsidRPr="000A7FD1" w:rsidRDefault="00A04DF5" w:rsidP="006B46F1">
      <w:pPr>
        <w:pStyle w:val="FAM-Bullet-2"/>
        <w:numPr>
          <w:ilvl w:val="1"/>
          <w:numId w:val="8"/>
        </w:numPr>
        <w:tabs>
          <w:tab w:val="clear" w:pos="2880"/>
        </w:tabs>
        <w:ind w:left="2520"/>
        <w:rPr>
          <w:rFonts w:ascii="Arial" w:hAnsi="Arial" w:cs="Arial"/>
          <w:sz w:val="22"/>
        </w:rPr>
      </w:pPr>
      <w:r w:rsidRPr="000A7FD1">
        <w:rPr>
          <w:rFonts w:ascii="Arial" w:hAnsi="Arial" w:cs="Arial"/>
          <w:sz w:val="22"/>
        </w:rPr>
        <w:t xml:space="preserve">The obligation has not subsequently been </w:t>
      </w:r>
      <w:proofErr w:type="spellStart"/>
      <w:r w:rsidR="0055151F" w:rsidRPr="000A7FD1">
        <w:rPr>
          <w:rFonts w:ascii="Arial" w:hAnsi="Arial" w:cs="Arial"/>
          <w:sz w:val="22"/>
        </w:rPr>
        <w:t>deobligated</w:t>
      </w:r>
      <w:proofErr w:type="spellEnd"/>
      <w:r w:rsidR="0055151F" w:rsidRPr="000A7FD1">
        <w:rPr>
          <w:rFonts w:ascii="Arial" w:hAnsi="Arial" w:cs="Arial"/>
          <w:sz w:val="22"/>
        </w:rPr>
        <w:t xml:space="preserve"> or </w:t>
      </w:r>
      <w:r w:rsidRPr="000A7FD1">
        <w:rPr>
          <w:rFonts w:ascii="Arial" w:hAnsi="Arial" w:cs="Arial"/>
          <w:sz w:val="22"/>
        </w:rPr>
        <w:t>canceled.</w:t>
      </w:r>
      <w:r w:rsidR="00B204AD" w:rsidRPr="000A7FD1">
        <w:rPr>
          <w:rFonts w:ascii="Arial" w:hAnsi="Arial" w:cs="Arial"/>
          <w:sz w:val="22"/>
        </w:rPr>
        <w:t xml:space="preserve"> </w:t>
      </w:r>
      <w:r w:rsidR="00FB5E70" w:rsidRPr="000A7FD1">
        <w:rPr>
          <w:rFonts w:ascii="Arial" w:hAnsi="Arial" w:cs="Arial"/>
          <w:sz w:val="22"/>
        </w:rPr>
        <w:t>T</w:t>
      </w:r>
      <w:r w:rsidR="00B204AD" w:rsidRPr="000A7FD1">
        <w:rPr>
          <w:rFonts w:ascii="Arial" w:hAnsi="Arial" w:cs="Arial"/>
          <w:sz w:val="22"/>
        </w:rPr>
        <w:t xml:space="preserve">he </w:t>
      </w:r>
      <w:r w:rsidR="0055151F" w:rsidRPr="000A7FD1">
        <w:rPr>
          <w:rFonts w:ascii="Arial" w:hAnsi="Arial" w:cs="Arial"/>
          <w:sz w:val="22"/>
        </w:rPr>
        <w:t>entity</w:t>
      </w:r>
      <w:r w:rsidR="009E4252" w:rsidRPr="000A7FD1">
        <w:rPr>
          <w:rFonts w:ascii="Arial" w:hAnsi="Arial" w:cs="Arial"/>
          <w:sz w:val="22"/>
        </w:rPr>
        <w:t xml:space="preserve"> </w:t>
      </w:r>
      <w:r w:rsidR="00B204AD" w:rsidRPr="000A7FD1">
        <w:rPr>
          <w:rFonts w:ascii="Arial" w:hAnsi="Arial" w:cs="Arial"/>
          <w:sz w:val="22"/>
        </w:rPr>
        <w:t xml:space="preserve">should not </w:t>
      </w:r>
      <w:r w:rsidR="0055151F" w:rsidRPr="000A7FD1">
        <w:rPr>
          <w:rFonts w:ascii="Arial" w:hAnsi="Arial" w:cs="Arial"/>
          <w:sz w:val="22"/>
        </w:rPr>
        <w:t xml:space="preserve">cancel or reduce an </w:t>
      </w:r>
      <w:r w:rsidR="00B204AD" w:rsidRPr="000A7FD1">
        <w:rPr>
          <w:rFonts w:ascii="Arial" w:hAnsi="Arial" w:cs="Arial"/>
          <w:sz w:val="22"/>
        </w:rPr>
        <w:t xml:space="preserve">obligation until </w:t>
      </w:r>
      <w:r w:rsidR="009E4252" w:rsidRPr="000A7FD1">
        <w:rPr>
          <w:rFonts w:ascii="Arial" w:hAnsi="Arial" w:cs="Arial"/>
          <w:sz w:val="22"/>
        </w:rPr>
        <w:t xml:space="preserve">it has made a formal decision to </w:t>
      </w:r>
      <w:r w:rsidR="0055151F" w:rsidRPr="000A7FD1">
        <w:rPr>
          <w:rFonts w:ascii="Arial" w:hAnsi="Arial" w:cs="Arial"/>
          <w:sz w:val="22"/>
        </w:rPr>
        <w:t>do so</w:t>
      </w:r>
      <w:r w:rsidR="009E4252" w:rsidRPr="000A7FD1">
        <w:rPr>
          <w:rFonts w:ascii="Arial" w:hAnsi="Arial" w:cs="Arial"/>
          <w:sz w:val="22"/>
        </w:rPr>
        <w:t>, supported by any necessary documentation that has been fully exe</w:t>
      </w:r>
      <w:r w:rsidR="00DC5970" w:rsidRPr="000A7FD1">
        <w:rPr>
          <w:rFonts w:ascii="Arial" w:hAnsi="Arial" w:cs="Arial"/>
          <w:sz w:val="22"/>
        </w:rPr>
        <w:t>cuted (e.g.</w:t>
      </w:r>
      <w:r w:rsidR="00556B80" w:rsidRPr="000A7FD1">
        <w:rPr>
          <w:rFonts w:ascii="Arial" w:hAnsi="Arial" w:cs="Arial"/>
          <w:sz w:val="22"/>
        </w:rPr>
        <w:t>,</w:t>
      </w:r>
      <w:r w:rsidR="00DC5970" w:rsidRPr="000A7FD1">
        <w:rPr>
          <w:rFonts w:ascii="Arial" w:hAnsi="Arial" w:cs="Arial"/>
          <w:sz w:val="22"/>
        </w:rPr>
        <w:t xml:space="preserve"> SF-30 for contract amendments</w:t>
      </w:r>
      <w:r w:rsidR="009E4252" w:rsidRPr="000A7FD1">
        <w:rPr>
          <w:rFonts w:ascii="Arial" w:hAnsi="Arial" w:cs="Arial"/>
          <w:sz w:val="22"/>
        </w:rPr>
        <w:t>).</w:t>
      </w:r>
      <w:r w:rsidR="0055151F" w:rsidRPr="000A7FD1">
        <w:rPr>
          <w:rFonts w:ascii="Arial" w:hAnsi="Arial" w:cs="Arial"/>
          <w:sz w:val="22"/>
        </w:rPr>
        <w:t xml:space="preserve"> There may be specific statutory or other requirements concerning </w:t>
      </w:r>
      <w:proofErr w:type="spellStart"/>
      <w:r w:rsidR="0055151F" w:rsidRPr="000A7FD1">
        <w:rPr>
          <w:rFonts w:ascii="Arial" w:hAnsi="Arial" w:cs="Arial"/>
          <w:sz w:val="22"/>
        </w:rPr>
        <w:t>deobligation</w:t>
      </w:r>
      <w:proofErr w:type="spellEnd"/>
      <w:r w:rsidR="0055151F" w:rsidRPr="000A7FD1">
        <w:rPr>
          <w:rFonts w:ascii="Arial" w:hAnsi="Arial" w:cs="Arial"/>
          <w:sz w:val="22"/>
        </w:rPr>
        <w:t xml:space="preserve">. For example, transactions authorized by the Economy Act are limited by the statutory requirement that the amount obligated by the ordering appropriation is required to be </w:t>
      </w:r>
      <w:proofErr w:type="spellStart"/>
      <w:r w:rsidR="0055151F" w:rsidRPr="000A7FD1">
        <w:rPr>
          <w:rFonts w:ascii="Arial" w:hAnsi="Arial" w:cs="Arial"/>
          <w:sz w:val="22"/>
        </w:rPr>
        <w:t>deobligated</w:t>
      </w:r>
      <w:proofErr w:type="spellEnd"/>
      <w:r w:rsidR="0055151F" w:rsidRPr="000A7FD1">
        <w:rPr>
          <w:rFonts w:ascii="Arial" w:hAnsi="Arial" w:cs="Arial"/>
          <w:sz w:val="22"/>
        </w:rPr>
        <w:t xml:space="preserve"> to the extent that the agency or unit filling the order has not incurred obligations before the end of the period of availability of the ordering appropriation. </w:t>
      </w:r>
    </w:p>
    <w:p w14:paraId="1B69824C" w14:textId="77777777" w:rsidR="00D55C7E" w:rsidRPr="000A7FD1" w:rsidRDefault="00A04DF5" w:rsidP="006B46F1">
      <w:pPr>
        <w:pStyle w:val="FAM-Bullet-2"/>
        <w:numPr>
          <w:ilvl w:val="1"/>
          <w:numId w:val="8"/>
        </w:numPr>
        <w:tabs>
          <w:tab w:val="clear" w:pos="2880"/>
        </w:tabs>
        <w:ind w:left="2520"/>
        <w:rPr>
          <w:rFonts w:ascii="Arial" w:hAnsi="Arial" w:cs="Arial"/>
          <w:sz w:val="22"/>
        </w:rPr>
      </w:pPr>
      <w:r w:rsidRPr="000A7FD1">
        <w:rPr>
          <w:rFonts w:ascii="Arial" w:hAnsi="Arial" w:cs="Arial"/>
          <w:sz w:val="22"/>
        </w:rPr>
        <w:t>For adjustments to obligations in expired accounts, objectives are</w:t>
      </w:r>
      <w:r w:rsidR="00C60975" w:rsidRPr="000A7FD1">
        <w:rPr>
          <w:rFonts w:ascii="Arial" w:hAnsi="Arial" w:cs="Arial"/>
          <w:sz w:val="22"/>
        </w:rPr>
        <w:t xml:space="preserve"> as follows</w:t>
      </w:r>
      <w:r w:rsidRPr="000A7FD1">
        <w:rPr>
          <w:rFonts w:ascii="Arial" w:hAnsi="Arial" w:cs="Arial"/>
          <w:sz w:val="22"/>
        </w:rPr>
        <w:t>:</w:t>
      </w:r>
    </w:p>
    <w:p w14:paraId="39B85DD3" w14:textId="77777777" w:rsidR="00A04DF5" w:rsidRPr="000A7FD1" w:rsidRDefault="00A04DF5" w:rsidP="009B25DA">
      <w:pPr>
        <w:pStyle w:val="FAMroman3"/>
        <w:tabs>
          <w:tab w:val="clear" w:pos="3600"/>
        </w:tabs>
        <w:ind w:left="2880" w:hanging="180"/>
      </w:pPr>
      <w:r w:rsidRPr="000A7FD1">
        <w:t>If the adjustment represents a “contract change</w:t>
      </w:r>
      <w:r w:rsidR="00C60975" w:rsidRPr="000A7FD1">
        <w:t>,</w:t>
      </w:r>
      <w:r w:rsidRPr="000A7FD1">
        <w:t>” as defined in OMB Circular No. A-11, refer to the entity’s reporting and approval requirements in that circular.</w:t>
      </w:r>
    </w:p>
    <w:p w14:paraId="10CF2F42" w14:textId="5DDA470A" w:rsidR="00B93FFA" w:rsidRPr="000A7FD1" w:rsidRDefault="00B93FFA" w:rsidP="009B25DA">
      <w:pPr>
        <w:pStyle w:val="FAMroman3"/>
        <w:tabs>
          <w:tab w:val="clear" w:pos="3600"/>
        </w:tabs>
        <w:ind w:left="2880" w:hanging="180"/>
      </w:pPr>
      <w:r w:rsidRPr="000A7FD1">
        <w:t xml:space="preserve">The adjustment represents a </w:t>
      </w:r>
      <w:r w:rsidR="0059398B" w:rsidRPr="000A7FD1">
        <w:t xml:space="preserve">valid </w:t>
      </w:r>
      <w:r w:rsidRPr="000A7FD1">
        <w:t xml:space="preserve">increase or decrease </w:t>
      </w:r>
      <w:r w:rsidR="00D8001A" w:rsidRPr="000A7FD1">
        <w:t>to</w:t>
      </w:r>
      <w:r w:rsidRPr="000A7FD1">
        <w:t xml:space="preserve"> the entity’s </w:t>
      </w:r>
      <w:r w:rsidR="0059398B" w:rsidRPr="000A7FD1">
        <w:t>budgetary obligation</w:t>
      </w:r>
      <w:r w:rsidR="00105010" w:rsidRPr="000A7FD1">
        <w:t>, supported by any necessary documentation that has been fully executed (e.g., SF-30 for contract amendments)</w:t>
      </w:r>
      <w:r w:rsidRPr="000A7FD1">
        <w:t>.</w:t>
      </w:r>
      <w:r w:rsidR="00FA7A99" w:rsidRPr="000A7FD1">
        <w:t xml:space="preserve"> </w:t>
      </w:r>
    </w:p>
    <w:p w14:paraId="70F434AD" w14:textId="02A1B5FC" w:rsidR="00A04DF5" w:rsidRPr="000A7FD1" w:rsidRDefault="00A04DF5" w:rsidP="009B25DA">
      <w:pPr>
        <w:pStyle w:val="FAMroman3"/>
        <w:tabs>
          <w:tab w:val="clear" w:pos="3600"/>
        </w:tabs>
        <w:ind w:left="2880" w:hanging="180"/>
      </w:pPr>
      <w:r w:rsidRPr="000A7FD1">
        <w:t>The adjustment does not cause the entity to exceed the amount allotted or appropriated by statute.</w:t>
      </w:r>
    </w:p>
    <w:p w14:paraId="6395C68F" w14:textId="77777777" w:rsidR="00A04DF5" w:rsidRPr="000A7FD1" w:rsidRDefault="00A04DF5" w:rsidP="009B25DA">
      <w:pPr>
        <w:pStyle w:val="FAMroman3"/>
        <w:tabs>
          <w:tab w:val="clear" w:pos="3600"/>
        </w:tabs>
        <w:ind w:left="2880" w:hanging="180"/>
      </w:pPr>
      <w:r w:rsidRPr="000A7FD1">
        <w:t>The adjustment is recorded during the period when the account is available for adjustments (5 years) and was made for a valid obligation incurred before the authority expired.</w:t>
      </w:r>
    </w:p>
    <w:p w14:paraId="03EF4394" w14:textId="77777777" w:rsidR="00A04DF5" w:rsidRPr="000A7FD1" w:rsidRDefault="00A04DF5" w:rsidP="009B25DA">
      <w:pPr>
        <w:pStyle w:val="FAMroman3"/>
        <w:tabs>
          <w:tab w:val="clear" w:pos="3600"/>
        </w:tabs>
        <w:ind w:left="2880" w:hanging="180"/>
      </w:pPr>
      <w:r w:rsidRPr="000A7FD1">
        <w:t>New obligations are not to be recorded in expired accounts.</w:t>
      </w:r>
    </w:p>
    <w:p w14:paraId="0D004043" w14:textId="269A9559" w:rsidR="00A04DF5" w:rsidRPr="000A7FD1" w:rsidRDefault="00A04DF5" w:rsidP="006B46F1">
      <w:pPr>
        <w:pStyle w:val="FAM-Bullet-2"/>
        <w:numPr>
          <w:ilvl w:val="0"/>
          <w:numId w:val="8"/>
        </w:numPr>
        <w:rPr>
          <w:rFonts w:ascii="Arial" w:hAnsi="Arial" w:cs="Arial"/>
          <w:sz w:val="22"/>
        </w:rPr>
      </w:pPr>
      <w:r w:rsidRPr="000A7FD1">
        <w:rPr>
          <w:rFonts w:ascii="Arial" w:hAnsi="Arial" w:cs="Arial"/>
          <w:b/>
          <w:sz w:val="22"/>
        </w:rPr>
        <w:t>Completeness</w:t>
      </w:r>
      <w:r w:rsidR="00825196" w:rsidRPr="000A7FD1">
        <w:rPr>
          <w:rFonts w:ascii="Arial" w:hAnsi="Arial" w:cs="Arial"/>
          <w:b/>
          <w:sz w:val="22"/>
        </w:rPr>
        <w:t>.</w:t>
      </w:r>
      <w:r w:rsidRPr="000A7FD1">
        <w:rPr>
          <w:rFonts w:ascii="Arial" w:hAnsi="Arial" w:cs="Arial"/>
          <w:sz w:val="22"/>
        </w:rPr>
        <w:t xml:space="preserve"> All obligation transactions are recorded.</w:t>
      </w:r>
      <w:r w:rsidR="00D74D93" w:rsidRPr="000A7FD1">
        <w:rPr>
          <w:rFonts w:ascii="Arial" w:hAnsi="Arial" w:cs="Arial"/>
          <w:sz w:val="22"/>
        </w:rPr>
        <w:t xml:space="preserve"> </w:t>
      </w:r>
    </w:p>
    <w:p w14:paraId="5DAE065B" w14:textId="1AE35978" w:rsidR="00A04DF5" w:rsidRPr="000A7FD1" w:rsidRDefault="00155954" w:rsidP="006B46F1">
      <w:pPr>
        <w:pStyle w:val="FAM-Bullet-2"/>
        <w:numPr>
          <w:ilvl w:val="0"/>
          <w:numId w:val="8"/>
        </w:numPr>
        <w:rPr>
          <w:rFonts w:ascii="Arial" w:hAnsi="Arial" w:cs="Arial"/>
          <w:sz w:val="22"/>
        </w:rPr>
      </w:pPr>
      <w:r w:rsidRPr="000A7FD1">
        <w:rPr>
          <w:rFonts w:ascii="Arial" w:hAnsi="Arial" w:cs="Arial"/>
          <w:b/>
          <w:sz w:val="22"/>
        </w:rPr>
        <w:t>A</w:t>
      </w:r>
      <w:r w:rsidR="00A04DF5" w:rsidRPr="000A7FD1">
        <w:rPr>
          <w:rFonts w:ascii="Arial" w:hAnsi="Arial" w:cs="Arial"/>
          <w:b/>
          <w:sz w:val="22"/>
        </w:rPr>
        <w:t>ccuracy</w:t>
      </w:r>
      <w:r w:rsidR="00825196" w:rsidRPr="000A7FD1">
        <w:rPr>
          <w:rFonts w:ascii="Arial" w:hAnsi="Arial" w:cs="Arial"/>
          <w:b/>
          <w:sz w:val="22"/>
        </w:rPr>
        <w:t>.</w:t>
      </w:r>
      <w:r w:rsidR="00A04DF5" w:rsidRPr="000A7FD1">
        <w:rPr>
          <w:rFonts w:ascii="Arial" w:hAnsi="Arial" w:cs="Arial"/>
          <w:sz w:val="22"/>
        </w:rPr>
        <w:t xml:space="preserve"> Obligations are </w:t>
      </w:r>
      <w:r w:rsidR="00FA7A99" w:rsidRPr="000A7FD1">
        <w:rPr>
          <w:rFonts w:ascii="Arial" w:hAnsi="Arial" w:cs="Arial"/>
          <w:sz w:val="22"/>
        </w:rPr>
        <w:t xml:space="preserve">accurately </w:t>
      </w:r>
      <w:r w:rsidR="00A04DF5" w:rsidRPr="000A7FD1">
        <w:rPr>
          <w:rFonts w:ascii="Arial" w:hAnsi="Arial" w:cs="Arial"/>
          <w:sz w:val="22"/>
        </w:rPr>
        <w:t xml:space="preserve">recorded </w:t>
      </w:r>
      <w:r w:rsidR="00B204AD" w:rsidRPr="000A7FD1">
        <w:rPr>
          <w:rFonts w:ascii="Arial" w:hAnsi="Arial" w:cs="Arial"/>
          <w:sz w:val="22"/>
        </w:rPr>
        <w:t>based on</w:t>
      </w:r>
      <w:r w:rsidR="00FA7A99" w:rsidRPr="000A7FD1">
        <w:rPr>
          <w:rFonts w:ascii="Arial" w:hAnsi="Arial" w:cs="Arial"/>
          <w:sz w:val="22"/>
        </w:rPr>
        <w:t xml:space="preserve"> the entity’s </w:t>
      </w:r>
      <w:r w:rsidR="004753A7" w:rsidRPr="000A7FD1">
        <w:rPr>
          <w:rFonts w:ascii="Arial" w:hAnsi="Arial" w:cs="Arial"/>
          <w:sz w:val="22"/>
        </w:rPr>
        <w:t>budgetary obligation</w:t>
      </w:r>
      <w:r w:rsidR="005A0052" w:rsidRPr="000A7FD1">
        <w:rPr>
          <w:rFonts w:ascii="Arial" w:hAnsi="Arial" w:cs="Arial"/>
          <w:sz w:val="22"/>
        </w:rPr>
        <w:t xml:space="preserve"> for </w:t>
      </w:r>
      <w:r w:rsidR="00046570" w:rsidRPr="000A7FD1">
        <w:rPr>
          <w:rFonts w:ascii="Arial" w:hAnsi="Arial" w:cs="Arial"/>
          <w:sz w:val="22"/>
        </w:rPr>
        <w:t xml:space="preserve">the payment of </w:t>
      </w:r>
      <w:r w:rsidR="005A0052" w:rsidRPr="000A7FD1">
        <w:rPr>
          <w:rFonts w:ascii="Arial" w:hAnsi="Arial" w:cs="Arial"/>
          <w:sz w:val="22"/>
        </w:rPr>
        <w:t xml:space="preserve">goods </w:t>
      </w:r>
      <w:r w:rsidR="00425765" w:rsidRPr="000A7FD1">
        <w:rPr>
          <w:rFonts w:ascii="Arial" w:hAnsi="Arial" w:cs="Arial"/>
          <w:sz w:val="22"/>
        </w:rPr>
        <w:t>and</w:t>
      </w:r>
      <w:r w:rsidR="005A0052" w:rsidRPr="000A7FD1">
        <w:rPr>
          <w:rFonts w:ascii="Arial" w:hAnsi="Arial" w:cs="Arial"/>
          <w:sz w:val="22"/>
        </w:rPr>
        <w:t xml:space="preserve"> services </w:t>
      </w:r>
      <w:r w:rsidR="006304A5" w:rsidRPr="000A7FD1">
        <w:rPr>
          <w:rFonts w:ascii="Arial" w:hAnsi="Arial" w:cs="Arial"/>
          <w:sz w:val="22"/>
        </w:rPr>
        <w:t>ordered</w:t>
      </w:r>
      <w:r w:rsidR="00046570" w:rsidRPr="000A7FD1">
        <w:rPr>
          <w:rFonts w:ascii="Arial" w:hAnsi="Arial" w:cs="Arial"/>
          <w:sz w:val="22"/>
        </w:rPr>
        <w:t xml:space="preserve"> or </w:t>
      </w:r>
      <w:r w:rsidR="00046570" w:rsidRPr="000A7FD1">
        <w:rPr>
          <w:rFonts w:ascii="Arial" w:hAnsi="Arial" w:cs="Arial"/>
          <w:sz w:val="22"/>
        </w:rPr>
        <w:lastRenderedPageBreak/>
        <w:t>received</w:t>
      </w:r>
      <w:r w:rsidR="000C1B70" w:rsidRPr="000A7FD1">
        <w:rPr>
          <w:rFonts w:ascii="Arial" w:hAnsi="Arial" w:cs="Arial"/>
          <w:sz w:val="22"/>
        </w:rPr>
        <w:t xml:space="preserve"> </w:t>
      </w:r>
      <w:r w:rsidR="003511E2" w:rsidRPr="000A7FD1">
        <w:rPr>
          <w:rFonts w:ascii="Arial" w:hAnsi="Arial" w:cs="Arial"/>
          <w:sz w:val="22"/>
        </w:rPr>
        <w:t xml:space="preserve">and </w:t>
      </w:r>
      <w:r w:rsidR="000C1B70" w:rsidRPr="000A7FD1">
        <w:rPr>
          <w:rFonts w:ascii="Arial" w:hAnsi="Arial" w:cs="Arial"/>
          <w:sz w:val="22"/>
        </w:rPr>
        <w:t>other unliquidated obligations</w:t>
      </w:r>
      <w:r w:rsidR="005A0052" w:rsidRPr="000A7FD1">
        <w:rPr>
          <w:rFonts w:ascii="Arial" w:hAnsi="Arial" w:cs="Arial"/>
          <w:sz w:val="22"/>
        </w:rPr>
        <w:t>.</w:t>
      </w:r>
      <w:r w:rsidR="00021AD7" w:rsidRPr="000A7FD1">
        <w:rPr>
          <w:rStyle w:val="FootnoteReference"/>
          <w:rFonts w:ascii="Arial" w:hAnsi="Arial" w:cs="Arial"/>
          <w:sz w:val="22"/>
        </w:rPr>
        <w:footnoteReference w:id="20"/>
      </w:r>
      <w:r w:rsidR="005A0052" w:rsidRPr="000A7FD1">
        <w:rPr>
          <w:rFonts w:ascii="Arial" w:hAnsi="Arial" w:cs="Arial"/>
          <w:sz w:val="22"/>
        </w:rPr>
        <w:t xml:space="preserve"> </w:t>
      </w:r>
      <w:r w:rsidR="00656149" w:rsidRPr="000A7FD1">
        <w:rPr>
          <w:rFonts w:ascii="Arial" w:hAnsi="Arial" w:cs="Arial"/>
          <w:sz w:val="22"/>
        </w:rPr>
        <w:t xml:space="preserve">The entity’s </w:t>
      </w:r>
      <w:r w:rsidR="0059398B" w:rsidRPr="000A7FD1">
        <w:rPr>
          <w:rFonts w:ascii="Arial" w:hAnsi="Arial" w:cs="Arial"/>
          <w:sz w:val="22"/>
        </w:rPr>
        <w:t xml:space="preserve">budgetary obligation </w:t>
      </w:r>
      <w:r w:rsidR="00656149" w:rsidRPr="000A7FD1">
        <w:rPr>
          <w:rFonts w:ascii="Arial" w:hAnsi="Arial" w:cs="Arial"/>
          <w:sz w:val="22"/>
        </w:rPr>
        <w:t xml:space="preserve">is </w:t>
      </w:r>
      <w:r w:rsidR="00752829" w:rsidRPr="000A7FD1">
        <w:rPr>
          <w:rFonts w:ascii="Arial" w:hAnsi="Arial" w:cs="Arial"/>
          <w:sz w:val="22"/>
        </w:rPr>
        <w:t xml:space="preserve">not the same as </w:t>
      </w:r>
      <w:r w:rsidR="00012650" w:rsidRPr="000A7FD1">
        <w:rPr>
          <w:rFonts w:ascii="Arial" w:hAnsi="Arial" w:cs="Arial"/>
          <w:sz w:val="22"/>
        </w:rPr>
        <w:t xml:space="preserve">an entity’s </w:t>
      </w:r>
      <w:r w:rsidR="00752829" w:rsidRPr="000A7FD1">
        <w:rPr>
          <w:rFonts w:ascii="Arial" w:hAnsi="Arial" w:cs="Arial"/>
          <w:sz w:val="22"/>
        </w:rPr>
        <w:t>accounting liability, which is a probable future outflow or other sacrifice of resources as a result of past transactions or events</w:t>
      </w:r>
      <w:r w:rsidR="008517E5" w:rsidRPr="000A7FD1">
        <w:rPr>
          <w:rFonts w:ascii="Arial" w:hAnsi="Arial" w:cs="Arial"/>
          <w:sz w:val="22"/>
        </w:rPr>
        <w:t xml:space="preserve"> (e.g., receipt of goods or services)</w:t>
      </w:r>
      <w:r w:rsidR="008C099B" w:rsidRPr="000A7FD1">
        <w:rPr>
          <w:rFonts w:ascii="Arial" w:hAnsi="Arial" w:cs="Arial"/>
          <w:sz w:val="22"/>
        </w:rPr>
        <w:t xml:space="preserve">. The entity’s </w:t>
      </w:r>
      <w:r w:rsidR="0059398B" w:rsidRPr="000A7FD1">
        <w:rPr>
          <w:rFonts w:ascii="Arial" w:hAnsi="Arial" w:cs="Arial"/>
          <w:sz w:val="22"/>
        </w:rPr>
        <w:t xml:space="preserve">budgetary obligation </w:t>
      </w:r>
      <w:r w:rsidR="008C099B" w:rsidRPr="000A7FD1">
        <w:rPr>
          <w:rFonts w:ascii="Arial" w:hAnsi="Arial" w:cs="Arial"/>
          <w:sz w:val="22"/>
        </w:rPr>
        <w:t>is reported on the statement of budgetary resources</w:t>
      </w:r>
      <w:r w:rsidR="00556B80" w:rsidRPr="000A7FD1">
        <w:rPr>
          <w:rFonts w:ascii="Arial" w:hAnsi="Arial" w:cs="Arial"/>
          <w:sz w:val="22"/>
        </w:rPr>
        <w:t>,</w:t>
      </w:r>
      <w:r w:rsidR="008C099B" w:rsidRPr="000A7FD1">
        <w:rPr>
          <w:rFonts w:ascii="Arial" w:hAnsi="Arial" w:cs="Arial"/>
          <w:sz w:val="22"/>
        </w:rPr>
        <w:t xml:space="preserve"> whereas its accounting liability is reported on the balance sheet</w:t>
      </w:r>
      <w:r w:rsidR="00752829" w:rsidRPr="000A7FD1">
        <w:rPr>
          <w:rFonts w:ascii="Arial" w:hAnsi="Arial" w:cs="Arial"/>
          <w:sz w:val="22"/>
        </w:rPr>
        <w:t>.</w:t>
      </w:r>
    </w:p>
    <w:p w14:paraId="7836BDDA" w14:textId="1EEC1DFF" w:rsidR="00A04DF5" w:rsidRPr="000A7FD1" w:rsidRDefault="00A04DF5" w:rsidP="006B46F1">
      <w:pPr>
        <w:pStyle w:val="FAM-Bullet-2"/>
        <w:numPr>
          <w:ilvl w:val="0"/>
          <w:numId w:val="8"/>
        </w:numPr>
        <w:rPr>
          <w:rFonts w:ascii="Arial" w:hAnsi="Arial" w:cs="Arial"/>
          <w:sz w:val="22"/>
        </w:rPr>
      </w:pPr>
      <w:r w:rsidRPr="000A7FD1">
        <w:rPr>
          <w:rFonts w:ascii="Arial" w:hAnsi="Arial" w:cs="Arial"/>
          <w:b/>
          <w:sz w:val="22"/>
        </w:rPr>
        <w:t>Cutoff</w:t>
      </w:r>
      <w:r w:rsidR="00825196" w:rsidRPr="000A7FD1">
        <w:rPr>
          <w:rFonts w:ascii="Arial" w:hAnsi="Arial" w:cs="Arial"/>
          <w:b/>
          <w:sz w:val="22"/>
        </w:rPr>
        <w:t>.</w:t>
      </w:r>
      <w:r w:rsidRPr="000A7FD1">
        <w:rPr>
          <w:rFonts w:ascii="Arial" w:hAnsi="Arial" w:cs="Arial"/>
          <w:sz w:val="22"/>
        </w:rPr>
        <w:t xml:space="preserve"> Obligations are recorded in the proper period.</w:t>
      </w:r>
    </w:p>
    <w:p w14:paraId="671E4A81" w14:textId="63478B76" w:rsidR="00A04DF5" w:rsidRPr="000A7FD1" w:rsidRDefault="00A04DF5" w:rsidP="006B46F1">
      <w:pPr>
        <w:pStyle w:val="FAM-Bullet-2"/>
        <w:numPr>
          <w:ilvl w:val="0"/>
          <w:numId w:val="8"/>
        </w:numPr>
        <w:rPr>
          <w:rFonts w:ascii="Arial" w:hAnsi="Arial" w:cs="Arial"/>
          <w:sz w:val="22"/>
        </w:rPr>
      </w:pPr>
      <w:r w:rsidRPr="000A7FD1">
        <w:rPr>
          <w:rFonts w:ascii="Arial" w:hAnsi="Arial" w:cs="Arial"/>
          <w:b/>
          <w:sz w:val="22"/>
        </w:rPr>
        <w:t>Classification</w:t>
      </w:r>
      <w:r w:rsidR="00825196" w:rsidRPr="000A7FD1">
        <w:rPr>
          <w:rFonts w:ascii="Arial" w:hAnsi="Arial" w:cs="Arial"/>
          <w:b/>
          <w:sz w:val="22"/>
        </w:rPr>
        <w:t>.</w:t>
      </w:r>
      <w:r w:rsidRPr="000A7FD1">
        <w:rPr>
          <w:rFonts w:ascii="Arial" w:hAnsi="Arial" w:cs="Arial"/>
          <w:sz w:val="22"/>
        </w:rPr>
        <w:t xml:space="preserve"> Obligations are recorded in the proper appropriation or fund accounts (also by program and by object, if applicable), including the proper appropriation year if the account is multiyear. Examples of programmatic account classifications are</w:t>
      </w:r>
      <w:r w:rsidR="00BE022F" w:rsidRPr="000A7FD1">
        <w:rPr>
          <w:rFonts w:ascii="Arial" w:hAnsi="Arial" w:cs="Arial"/>
          <w:sz w:val="22"/>
        </w:rPr>
        <w:t xml:space="preserve"> school lunch program and </w:t>
      </w:r>
      <w:r w:rsidRPr="000A7FD1">
        <w:rPr>
          <w:rFonts w:ascii="Arial" w:hAnsi="Arial" w:cs="Arial"/>
          <w:sz w:val="22"/>
        </w:rPr>
        <w:t>nu</w:t>
      </w:r>
      <w:r w:rsidR="00BE022F" w:rsidRPr="000A7FD1">
        <w:rPr>
          <w:rFonts w:ascii="Arial" w:hAnsi="Arial" w:cs="Arial"/>
          <w:sz w:val="22"/>
        </w:rPr>
        <w:t>trition education and training.</w:t>
      </w:r>
      <w:r w:rsidRPr="000A7FD1">
        <w:rPr>
          <w:rFonts w:ascii="Arial" w:hAnsi="Arial" w:cs="Arial"/>
          <w:sz w:val="22"/>
        </w:rPr>
        <w:t xml:space="preserve"> Examples of object account classifications are</w:t>
      </w:r>
      <w:r w:rsidR="00BE022F" w:rsidRPr="000A7FD1">
        <w:rPr>
          <w:rFonts w:ascii="Arial" w:hAnsi="Arial" w:cs="Arial"/>
          <w:sz w:val="22"/>
        </w:rPr>
        <w:t xml:space="preserve"> salaries, rent, and </w:t>
      </w:r>
      <w:r w:rsidRPr="000A7FD1">
        <w:rPr>
          <w:rFonts w:ascii="Arial" w:hAnsi="Arial" w:cs="Arial"/>
          <w:sz w:val="22"/>
        </w:rPr>
        <w:t>travel.</w:t>
      </w:r>
    </w:p>
    <w:p w14:paraId="101D2FE0" w14:textId="4ABE272D" w:rsidR="00A04DF5" w:rsidRPr="000A7FD1" w:rsidRDefault="00A04DF5" w:rsidP="00CC7A2D">
      <w:pPr>
        <w:pStyle w:val="FAM-Bullet-2"/>
        <w:numPr>
          <w:ilvl w:val="0"/>
          <w:numId w:val="21"/>
        </w:numPr>
        <w:rPr>
          <w:rFonts w:ascii="Arial" w:hAnsi="Arial" w:cs="Arial"/>
          <w:sz w:val="22"/>
        </w:rPr>
      </w:pPr>
      <w:r w:rsidRPr="000A7FD1">
        <w:rPr>
          <w:rFonts w:ascii="Arial" w:hAnsi="Arial" w:cs="Arial"/>
          <w:b/>
          <w:sz w:val="22"/>
        </w:rPr>
        <w:t>Expended authority transactions</w:t>
      </w:r>
      <w:r w:rsidR="00825196" w:rsidRPr="000A7FD1">
        <w:rPr>
          <w:rFonts w:ascii="Arial" w:hAnsi="Arial" w:cs="Arial"/>
          <w:b/>
          <w:sz w:val="22"/>
        </w:rPr>
        <w:t>.</w:t>
      </w:r>
      <w:r w:rsidRPr="000A7FD1">
        <w:rPr>
          <w:rFonts w:ascii="Arial" w:hAnsi="Arial" w:cs="Arial"/>
          <w:sz w:val="22"/>
        </w:rPr>
        <w:t xml:space="preserve"> Control objectives relating to expended authority transactions, as defined in FAM 395 E, are generally the same as those for obligation transactions</w:t>
      </w:r>
      <w:r w:rsidR="00C60975" w:rsidRPr="000A7FD1">
        <w:rPr>
          <w:rFonts w:ascii="Arial" w:hAnsi="Arial" w:cs="Arial"/>
          <w:sz w:val="22"/>
        </w:rPr>
        <w:t>.</w:t>
      </w:r>
    </w:p>
    <w:p w14:paraId="4AC26543" w14:textId="7BF1C61B" w:rsidR="00A04DF5" w:rsidRPr="000A7FD1" w:rsidRDefault="00A04DF5" w:rsidP="006B46F1">
      <w:pPr>
        <w:pStyle w:val="FAM-Bullet-2"/>
        <w:numPr>
          <w:ilvl w:val="0"/>
          <w:numId w:val="8"/>
        </w:numPr>
        <w:rPr>
          <w:rFonts w:ascii="Arial" w:hAnsi="Arial" w:cs="Arial"/>
          <w:sz w:val="22"/>
        </w:rPr>
      </w:pPr>
      <w:r w:rsidRPr="000A7FD1">
        <w:rPr>
          <w:rFonts w:ascii="Arial" w:hAnsi="Arial" w:cs="Arial"/>
          <w:b/>
          <w:sz w:val="22"/>
        </w:rPr>
        <w:t>Validity/occurrence</w:t>
      </w:r>
      <w:r w:rsidR="00825196" w:rsidRPr="000A7FD1">
        <w:rPr>
          <w:rFonts w:ascii="Arial" w:hAnsi="Arial" w:cs="Arial"/>
          <w:b/>
          <w:sz w:val="22"/>
        </w:rPr>
        <w:t>.</w:t>
      </w:r>
      <w:r w:rsidRPr="000A7FD1">
        <w:rPr>
          <w:rFonts w:ascii="Arial" w:hAnsi="Arial" w:cs="Arial"/>
          <w:sz w:val="22"/>
        </w:rPr>
        <w:t xml:space="preserve"> For all expended authority transactions, recorded expended authority transactions have occurred. This occurrence is usually evidenced by appropriate supporting documentation</w:t>
      </w:r>
      <w:r w:rsidR="000D1620" w:rsidRPr="000A7FD1">
        <w:rPr>
          <w:rFonts w:ascii="Arial" w:hAnsi="Arial" w:cs="Arial"/>
          <w:sz w:val="22"/>
        </w:rPr>
        <w:t>, such as invoices and receiving reports</w:t>
      </w:r>
      <w:r w:rsidRPr="000A7FD1">
        <w:rPr>
          <w:rFonts w:ascii="Arial" w:hAnsi="Arial" w:cs="Arial"/>
          <w:sz w:val="22"/>
        </w:rPr>
        <w:t xml:space="preserve">. </w:t>
      </w:r>
      <w:r w:rsidR="000D1620" w:rsidRPr="000A7FD1">
        <w:rPr>
          <w:rFonts w:ascii="Arial" w:hAnsi="Arial" w:cs="Arial"/>
          <w:sz w:val="22"/>
        </w:rPr>
        <w:t xml:space="preserve">Accrual of liabilities based on incurred but unbilled contractor costs alone is not sufficient evidence of validity (i.e., it may not meet the purpose, time, and amount provisions of an appropriation). </w:t>
      </w:r>
      <w:r w:rsidRPr="000A7FD1">
        <w:rPr>
          <w:rFonts w:ascii="Arial" w:hAnsi="Arial" w:cs="Arial"/>
          <w:sz w:val="22"/>
        </w:rPr>
        <w:t>For expended authority transactions (or adjustments to expended authority transactions) in expired accounts, the entity objectives are that</w:t>
      </w:r>
    </w:p>
    <w:p w14:paraId="1EB3A0B8" w14:textId="77777777" w:rsidR="00A04DF5" w:rsidRPr="000A7FD1" w:rsidRDefault="00A04DF5" w:rsidP="00337828">
      <w:pPr>
        <w:pStyle w:val="FAM-Bullet-2"/>
        <w:numPr>
          <w:ilvl w:val="1"/>
          <w:numId w:val="8"/>
        </w:numPr>
        <w:tabs>
          <w:tab w:val="clear" w:pos="2880"/>
        </w:tabs>
        <w:ind w:left="2520"/>
        <w:rPr>
          <w:rFonts w:ascii="Arial" w:hAnsi="Arial" w:cs="Arial"/>
          <w:sz w:val="22"/>
        </w:rPr>
      </w:pPr>
      <w:r w:rsidRPr="000A7FD1">
        <w:rPr>
          <w:rFonts w:ascii="Arial" w:hAnsi="Arial" w:cs="Arial"/>
          <w:sz w:val="22"/>
        </w:rPr>
        <w:t>the expended authority transaction does not cause the entity to exceed the amount appropriated by statute</w:t>
      </w:r>
      <w:r w:rsidR="00C60975" w:rsidRPr="000A7FD1">
        <w:rPr>
          <w:rFonts w:ascii="Arial" w:hAnsi="Arial" w:cs="Arial"/>
          <w:sz w:val="22"/>
        </w:rPr>
        <w:t>,</w:t>
      </w:r>
    </w:p>
    <w:p w14:paraId="6C298377" w14:textId="77777777" w:rsidR="00A04DF5" w:rsidRPr="000A7FD1" w:rsidRDefault="00A04DF5" w:rsidP="00337828">
      <w:pPr>
        <w:pStyle w:val="FAM-Bullet-2"/>
        <w:numPr>
          <w:ilvl w:val="1"/>
          <w:numId w:val="8"/>
        </w:numPr>
        <w:tabs>
          <w:tab w:val="clear" w:pos="2880"/>
        </w:tabs>
        <w:ind w:left="2520"/>
        <w:rPr>
          <w:rFonts w:ascii="Arial" w:hAnsi="Arial" w:cs="Arial"/>
          <w:sz w:val="22"/>
        </w:rPr>
      </w:pPr>
      <w:r w:rsidRPr="000A7FD1">
        <w:rPr>
          <w:rFonts w:ascii="Arial" w:hAnsi="Arial" w:cs="Arial"/>
          <w:sz w:val="22"/>
        </w:rPr>
        <w:t>the expended authority transaction is recorded during the period when the account is available for adjustments (5 years</w:t>
      </w:r>
      <w:r w:rsidR="00C60975" w:rsidRPr="000A7FD1">
        <w:rPr>
          <w:rFonts w:ascii="Arial" w:hAnsi="Arial" w:cs="Arial"/>
          <w:sz w:val="22"/>
        </w:rPr>
        <w:t xml:space="preserve">), </w:t>
      </w:r>
      <w:r w:rsidRPr="000A7FD1">
        <w:rPr>
          <w:rFonts w:ascii="Arial" w:hAnsi="Arial" w:cs="Arial"/>
          <w:sz w:val="22"/>
        </w:rPr>
        <w:t>and</w:t>
      </w:r>
    </w:p>
    <w:p w14:paraId="0FA55728" w14:textId="0AAB3C41" w:rsidR="00A04DF5" w:rsidRPr="000A7FD1" w:rsidRDefault="00A04DF5" w:rsidP="00337828">
      <w:pPr>
        <w:pStyle w:val="FAM-Bullet-2"/>
        <w:numPr>
          <w:ilvl w:val="1"/>
          <w:numId w:val="8"/>
        </w:numPr>
        <w:tabs>
          <w:tab w:val="clear" w:pos="2880"/>
        </w:tabs>
        <w:ind w:left="2520"/>
        <w:rPr>
          <w:rFonts w:ascii="Arial" w:hAnsi="Arial" w:cs="Arial"/>
          <w:sz w:val="22"/>
        </w:rPr>
      </w:pPr>
      <w:r w:rsidRPr="000A7FD1">
        <w:rPr>
          <w:rFonts w:ascii="Arial" w:hAnsi="Arial" w:cs="Arial"/>
          <w:sz w:val="22"/>
        </w:rPr>
        <w:t xml:space="preserve">the expenditure is not made </w:t>
      </w:r>
      <w:r w:rsidR="007541CD" w:rsidRPr="000A7FD1">
        <w:rPr>
          <w:rFonts w:ascii="Arial" w:hAnsi="Arial" w:cs="Arial"/>
          <w:sz w:val="22"/>
        </w:rPr>
        <w:t>from</w:t>
      </w:r>
      <w:r w:rsidRPr="000A7FD1">
        <w:rPr>
          <w:rFonts w:ascii="Arial" w:hAnsi="Arial" w:cs="Arial"/>
          <w:sz w:val="22"/>
        </w:rPr>
        <w:t xml:space="preserve"> a closed account.</w:t>
      </w:r>
    </w:p>
    <w:p w14:paraId="550D54CC" w14:textId="0549F512" w:rsidR="00A04DF5" w:rsidRPr="000A7FD1" w:rsidRDefault="00A04DF5" w:rsidP="006B46F1">
      <w:pPr>
        <w:pStyle w:val="FAM-Bullet-2"/>
        <w:numPr>
          <w:ilvl w:val="0"/>
          <w:numId w:val="8"/>
        </w:numPr>
        <w:rPr>
          <w:rFonts w:ascii="Arial" w:hAnsi="Arial" w:cs="Arial"/>
          <w:sz w:val="22"/>
        </w:rPr>
      </w:pPr>
      <w:r w:rsidRPr="000A7FD1">
        <w:rPr>
          <w:rFonts w:ascii="Arial" w:hAnsi="Arial" w:cs="Arial"/>
          <w:b/>
          <w:sz w:val="22"/>
        </w:rPr>
        <w:t>Completeness</w:t>
      </w:r>
      <w:r w:rsidR="00825196" w:rsidRPr="000A7FD1">
        <w:rPr>
          <w:rFonts w:ascii="Arial" w:hAnsi="Arial" w:cs="Arial"/>
          <w:b/>
          <w:sz w:val="22"/>
        </w:rPr>
        <w:t>.</w:t>
      </w:r>
      <w:r w:rsidRPr="000A7FD1">
        <w:rPr>
          <w:rFonts w:ascii="Arial" w:hAnsi="Arial" w:cs="Arial"/>
          <w:b/>
          <w:sz w:val="22"/>
        </w:rPr>
        <w:t xml:space="preserve"> </w:t>
      </w:r>
      <w:r w:rsidRPr="000A7FD1">
        <w:rPr>
          <w:rFonts w:ascii="Arial" w:hAnsi="Arial" w:cs="Arial"/>
          <w:sz w:val="22"/>
        </w:rPr>
        <w:t>All expended authority transactions and adjustments are recorded.</w:t>
      </w:r>
    </w:p>
    <w:p w14:paraId="7B7B09F2" w14:textId="014B5F60" w:rsidR="00A04DF5" w:rsidRPr="000A7FD1" w:rsidRDefault="00482028" w:rsidP="006B46F1">
      <w:pPr>
        <w:pStyle w:val="FAM-Bullet-2"/>
        <w:numPr>
          <w:ilvl w:val="0"/>
          <w:numId w:val="8"/>
        </w:numPr>
        <w:rPr>
          <w:rFonts w:ascii="Arial" w:hAnsi="Arial" w:cs="Arial"/>
          <w:sz w:val="22"/>
        </w:rPr>
      </w:pPr>
      <w:r w:rsidRPr="000A7FD1">
        <w:rPr>
          <w:rFonts w:ascii="Arial" w:hAnsi="Arial" w:cs="Arial"/>
          <w:b/>
          <w:sz w:val="22"/>
        </w:rPr>
        <w:t>Accuracy and v</w:t>
      </w:r>
      <w:r w:rsidR="00A04DF5" w:rsidRPr="000A7FD1">
        <w:rPr>
          <w:rFonts w:ascii="Arial" w:hAnsi="Arial" w:cs="Arial"/>
          <w:b/>
          <w:sz w:val="22"/>
        </w:rPr>
        <w:t>aluation</w:t>
      </w:r>
      <w:r w:rsidR="00825196" w:rsidRPr="000A7FD1">
        <w:rPr>
          <w:rFonts w:ascii="Arial" w:hAnsi="Arial" w:cs="Arial"/>
          <w:b/>
          <w:sz w:val="22"/>
        </w:rPr>
        <w:t>.</w:t>
      </w:r>
      <w:r w:rsidR="00A04DF5" w:rsidRPr="000A7FD1">
        <w:rPr>
          <w:rFonts w:ascii="Arial" w:hAnsi="Arial" w:cs="Arial"/>
          <w:b/>
          <w:sz w:val="22"/>
        </w:rPr>
        <w:t xml:space="preserve"> </w:t>
      </w:r>
      <w:r w:rsidR="00A04DF5" w:rsidRPr="000A7FD1">
        <w:rPr>
          <w:rFonts w:ascii="Arial" w:hAnsi="Arial" w:cs="Arial"/>
          <w:sz w:val="22"/>
        </w:rPr>
        <w:t>Expended authority transactions and adjustments are recorded at the correct amount.</w:t>
      </w:r>
    </w:p>
    <w:p w14:paraId="3A398213" w14:textId="4396A351" w:rsidR="00A04DF5" w:rsidRPr="000A7FD1" w:rsidRDefault="00A04DF5" w:rsidP="006B46F1">
      <w:pPr>
        <w:pStyle w:val="FAM-Bullet-2"/>
        <w:numPr>
          <w:ilvl w:val="0"/>
          <w:numId w:val="8"/>
        </w:numPr>
        <w:rPr>
          <w:rFonts w:ascii="Arial" w:hAnsi="Arial" w:cs="Arial"/>
          <w:sz w:val="22"/>
        </w:rPr>
      </w:pPr>
      <w:r w:rsidRPr="000A7FD1">
        <w:rPr>
          <w:rFonts w:ascii="Arial" w:hAnsi="Arial" w:cs="Arial"/>
          <w:b/>
          <w:sz w:val="22"/>
        </w:rPr>
        <w:t>Cutoff</w:t>
      </w:r>
      <w:r w:rsidR="00825196" w:rsidRPr="000A7FD1">
        <w:rPr>
          <w:rFonts w:ascii="Arial" w:hAnsi="Arial" w:cs="Arial"/>
          <w:b/>
          <w:sz w:val="22"/>
        </w:rPr>
        <w:t>.</w:t>
      </w:r>
      <w:r w:rsidRPr="000A7FD1">
        <w:rPr>
          <w:rFonts w:ascii="Arial" w:hAnsi="Arial" w:cs="Arial"/>
          <w:b/>
          <w:sz w:val="22"/>
        </w:rPr>
        <w:t xml:space="preserve"> </w:t>
      </w:r>
      <w:r w:rsidRPr="000A7FD1">
        <w:rPr>
          <w:rFonts w:ascii="Arial" w:hAnsi="Arial" w:cs="Arial"/>
          <w:sz w:val="22"/>
        </w:rPr>
        <w:t>Expended authority transactions and adjustments are recorded in the proper period.</w:t>
      </w:r>
    </w:p>
    <w:p w14:paraId="4B3FE1CD" w14:textId="0504322C" w:rsidR="00A04DF5" w:rsidRPr="000A7FD1" w:rsidRDefault="00A04DF5" w:rsidP="006B46F1">
      <w:pPr>
        <w:pStyle w:val="FAM-Bullet-2"/>
        <w:numPr>
          <w:ilvl w:val="0"/>
          <w:numId w:val="8"/>
        </w:numPr>
        <w:rPr>
          <w:rFonts w:ascii="Arial" w:hAnsi="Arial" w:cs="Arial"/>
          <w:sz w:val="22"/>
        </w:rPr>
      </w:pPr>
      <w:r w:rsidRPr="000A7FD1">
        <w:rPr>
          <w:rFonts w:ascii="Arial" w:hAnsi="Arial" w:cs="Arial"/>
          <w:b/>
          <w:sz w:val="22"/>
        </w:rPr>
        <w:t>Classification</w:t>
      </w:r>
      <w:r w:rsidR="00825196" w:rsidRPr="000A7FD1">
        <w:rPr>
          <w:rFonts w:ascii="Arial" w:hAnsi="Arial" w:cs="Arial"/>
          <w:b/>
          <w:sz w:val="22"/>
        </w:rPr>
        <w:t>.</w:t>
      </w:r>
      <w:r w:rsidRPr="000A7FD1">
        <w:rPr>
          <w:rFonts w:ascii="Arial" w:hAnsi="Arial" w:cs="Arial"/>
          <w:b/>
          <w:sz w:val="22"/>
        </w:rPr>
        <w:t xml:space="preserve"> </w:t>
      </w:r>
      <w:r w:rsidRPr="000A7FD1">
        <w:rPr>
          <w:rFonts w:ascii="Arial" w:hAnsi="Arial" w:cs="Arial"/>
          <w:sz w:val="22"/>
        </w:rPr>
        <w:t xml:space="preserve">Expended authority transactions and adjustments are recorded in the proper appropriation or fund accounts (also by program </w:t>
      </w:r>
      <w:r w:rsidRPr="000A7FD1">
        <w:rPr>
          <w:rFonts w:ascii="Arial" w:hAnsi="Arial" w:cs="Arial"/>
          <w:sz w:val="22"/>
        </w:rPr>
        <w:lastRenderedPageBreak/>
        <w:t>and by object, if applicable), including the proper appropriation year if the account is multiyear.</w:t>
      </w:r>
    </w:p>
    <w:p w14:paraId="6CC65993" w14:textId="0D057577" w:rsidR="00A04DF5" w:rsidRPr="000A7FD1" w:rsidRDefault="00A04DF5" w:rsidP="00CC7A2D">
      <w:pPr>
        <w:pStyle w:val="FAM-Bullet-2"/>
        <w:numPr>
          <w:ilvl w:val="0"/>
          <w:numId w:val="21"/>
        </w:numPr>
        <w:rPr>
          <w:rFonts w:ascii="Arial" w:hAnsi="Arial" w:cs="Arial"/>
          <w:sz w:val="22"/>
        </w:rPr>
      </w:pPr>
      <w:r w:rsidRPr="000A7FD1">
        <w:rPr>
          <w:rFonts w:ascii="Arial" w:hAnsi="Arial" w:cs="Arial"/>
          <w:b/>
          <w:sz w:val="22"/>
        </w:rPr>
        <w:t>Outlay transactions</w:t>
      </w:r>
      <w:r w:rsidR="00825196" w:rsidRPr="000A7FD1">
        <w:rPr>
          <w:rFonts w:ascii="Arial" w:hAnsi="Arial" w:cs="Arial"/>
          <w:b/>
          <w:sz w:val="22"/>
        </w:rPr>
        <w:t>.</w:t>
      </w:r>
      <w:r w:rsidRPr="000A7FD1">
        <w:rPr>
          <w:rFonts w:ascii="Arial" w:hAnsi="Arial" w:cs="Arial"/>
          <w:sz w:val="22"/>
        </w:rPr>
        <w:t xml:space="preserve"> Control objectives that relate to outlay transactions and may be tested while auditing cash disbursements are</w:t>
      </w:r>
      <w:r w:rsidR="00C60975" w:rsidRPr="000A7FD1">
        <w:rPr>
          <w:rFonts w:ascii="Arial" w:hAnsi="Arial" w:cs="Arial"/>
          <w:sz w:val="22"/>
        </w:rPr>
        <w:t xml:space="preserve"> as follows</w:t>
      </w:r>
      <w:r w:rsidRPr="000A7FD1">
        <w:rPr>
          <w:rFonts w:ascii="Arial" w:hAnsi="Arial" w:cs="Arial"/>
          <w:sz w:val="22"/>
        </w:rPr>
        <w:t>:</w:t>
      </w:r>
    </w:p>
    <w:p w14:paraId="10675005" w14:textId="2578018A" w:rsidR="00A04DF5" w:rsidRPr="000A7FD1" w:rsidRDefault="00A04DF5" w:rsidP="006B46F1">
      <w:pPr>
        <w:pStyle w:val="FAM-Bullet-2"/>
        <w:numPr>
          <w:ilvl w:val="0"/>
          <w:numId w:val="8"/>
        </w:numPr>
        <w:rPr>
          <w:rFonts w:ascii="Arial" w:hAnsi="Arial" w:cs="Arial"/>
          <w:sz w:val="22"/>
        </w:rPr>
      </w:pPr>
      <w:r w:rsidRPr="000A7FD1">
        <w:rPr>
          <w:rFonts w:ascii="Arial" w:hAnsi="Arial" w:cs="Arial"/>
          <w:b/>
          <w:sz w:val="22"/>
        </w:rPr>
        <w:t>Validity/occurrence</w:t>
      </w:r>
      <w:r w:rsidR="00825196" w:rsidRPr="000A7FD1">
        <w:rPr>
          <w:rFonts w:ascii="Arial" w:hAnsi="Arial" w:cs="Arial"/>
          <w:b/>
          <w:sz w:val="22"/>
        </w:rPr>
        <w:t>.</w:t>
      </w:r>
      <w:r w:rsidRPr="000A7FD1">
        <w:rPr>
          <w:rFonts w:ascii="Arial" w:hAnsi="Arial" w:cs="Arial"/>
          <w:sz w:val="22"/>
        </w:rPr>
        <w:t xml:space="preserve"> Outlays are supported by evidence such as contractor invoices</w:t>
      </w:r>
      <w:r w:rsidR="000D1620" w:rsidRPr="000A7FD1">
        <w:rPr>
          <w:rFonts w:ascii="Arial" w:hAnsi="Arial" w:cs="Arial"/>
          <w:sz w:val="22"/>
        </w:rPr>
        <w:t>,</w:t>
      </w:r>
      <w:r w:rsidRPr="000A7FD1">
        <w:rPr>
          <w:rFonts w:ascii="Arial" w:hAnsi="Arial" w:cs="Arial"/>
          <w:sz w:val="22"/>
        </w:rPr>
        <w:t xml:space="preserve"> receiving reports</w:t>
      </w:r>
      <w:r w:rsidR="000D1620" w:rsidRPr="000A7FD1">
        <w:rPr>
          <w:rFonts w:ascii="Arial" w:hAnsi="Arial" w:cs="Arial"/>
          <w:sz w:val="22"/>
        </w:rPr>
        <w:t>, and intragovernmental payment and collection reports</w:t>
      </w:r>
      <w:r w:rsidRPr="000A7FD1">
        <w:rPr>
          <w:rFonts w:ascii="Arial" w:hAnsi="Arial" w:cs="Arial"/>
          <w:sz w:val="22"/>
        </w:rPr>
        <w:t xml:space="preserve">. The outlay is recorded against an obligation made during the period of availability of the appropriation (not made out of a closed account). The outlay is also for a purpose for which the appropriation was provided and in an amount not exceeding the obligation, as adjusted, authorizing the outlay. Use of “first-in, first-out” or other arbitrary means to liquidate obligations based on outlays is not generally acceptable unless supporting evidence demonstrates that in fact these estimating techniques reasonably represent the manner in which costs are incurred. </w:t>
      </w:r>
      <w:r w:rsidR="00BE022F" w:rsidRPr="000A7FD1">
        <w:rPr>
          <w:rFonts w:ascii="Arial" w:hAnsi="Arial" w:cs="Arial"/>
          <w:sz w:val="22"/>
        </w:rPr>
        <w:t>(</w:t>
      </w:r>
      <w:r w:rsidRPr="000A7FD1">
        <w:rPr>
          <w:rFonts w:ascii="Arial" w:hAnsi="Arial" w:cs="Arial"/>
          <w:sz w:val="22"/>
        </w:rPr>
        <w:t xml:space="preserve">Note: </w:t>
      </w:r>
      <w:r w:rsidR="00C60975" w:rsidRPr="000A7FD1">
        <w:rPr>
          <w:rFonts w:ascii="Arial" w:hAnsi="Arial" w:cs="Arial"/>
          <w:sz w:val="22"/>
        </w:rPr>
        <w:t xml:space="preserve">Internal </w:t>
      </w:r>
      <w:r w:rsidRPr="000A7FD1">
        <w:rPr>
          <w:rFonts w:ascii="Arial" w:hAnsi="Arial" w:cs="Arial"/>
          <w:sz w:val="22"/>
        </w:rPr>
        <w:t>control over outlays and related liquidation of obligations may provide safeguards against improper payments, such as erroneous, duplicative, or fraudulent contractor billings.</w:t>
      </w:r>
      <w:r w:rsidR="00BE022F" w:rsidRPr="000A7FD1">
        <w:rPr>
          <w:rFonts w:ascii="Arial" w:hAnsi="Arial" w:cs="Arial"/>
          <w:sz w:val="22"/>
        </w:rPr>
        <w:t>)</w:t>
      </w:r>
    </w:p>
    <w:p w14:paraId="66758DC8" w14:textId="07DFE487" w:rsidR="00A04DF5" w:rsidRPr="000A7FD1" w:rsidRDefault="00A04DF5" w:rsidP="006B46F1">
      <w:pPr>
        <w:pStyle w:val="FAM-Bullet-2"/>
        <w:numPr>
          <w:ilvl w:val="0"/>
          <w:numId w:val="8"/>
        </w:numPr>
        <w:rPr>
          <w:rFonts w:ascii="Arial" w:hAnsi="Arial" w:cs="Arial"/>
          <w:sz w:val="22"/>
        </w:rPr>
      </w:pPr>
      <w:r w:rsidRPr="000A7FD1">
        <w:rPr>
          <w:rFonts w:ascii="Arial" w:hAnsi="Arial" w:cs="Arial"/>
          <w:b/>
          <w:sz w:val="22"/>
        </w:rPr>
        <w:t>Completeness</w:t>
      </w:r>
      <w:r w:rsidR="00825196" w:rsidRPr="000A7FD1">
        <w:rPr>
          <w:rFonts w:ascii="Arial" w:hAnsi="Arial" w:cs="Arial"/>
          <w:b/>
          <w:sz w:val="22"/>
        </w:rPr>
        <w:t>.</w:t>
      </w:r>
      <w:r w:rsidRPr="000A7FD1">
        <w:rPr>
          <w:rFonts w:ascii="Arial" w:hAnsi="Arial" w:cs="Arial"/>
          <w:b/>
          <w:sz w:val="22"/>
        </w:rPr>
        <w:t xml:space="preserve"> </w:t>
      </w:r>
      <w:r w:rsidRPr="000A7FD1">
        <w:rPr>
          <w:rFonts w:ascii="Arial" w:hAnsi="Arial" w:cs="Arial"/>
          <w:sz w:val="22"/>
        </w:rPr>
        <w:t>All outlays and adjustments are recorded.</w:t>
      </w:r>
    </w:p>
    <w:p w14:paraId="46CD13D0" w14:textId="334EB6E8" w:rsidR="00A04DF5" w:rsidRPr="000A7FD1" w:rsidRDefault="00482028" w:rsidP="006B46F1">
      <w:pPr>
        <w:pStyle w:val="FAM-Bullet-2"/>
        <w:numPr>
          <w:ilvl w:val="0"/>
          <w:numId w:val="8"/>
        </w:numPr>
        <w:rPr>
          <w:rFonts w:ascii="Arial" w:hAnsi="Arial" w:cs="Arial"/>
          <w:sz w:val="22"/>
        </w:rPr>
      </w:pPr>
      <w:r w:rsidRPr="000A7FD1">
        <w:rPr>
          <w:rFonts w:ascii="Arial" w:hAnsi="Arial" w:cs="Arial"/>
          <w:b/>
          <w:sz w:val="22"/>
        </w:rPr>
        <w:t>A</w:t>
      </w:r>
      <w:r w:rsidR="00A04DF5" w:rsidRPr="000A7FD1">
        <w:rPr>
          <w:rFonts w:ascii="Arial" w:hAnsi="Arial" w:cs="Arial"/>
          <w:b/>
          <w:sz w:val="22"/>
        </w:rPr>
        <w:t>ccuracy</w:t>
      </w:r>
      <w:r w:rsidRPr="000A7FD1">
        <w:rPr>
          <w:rFonts w:ascii="Arial" w:hAnsi="Arial" w:cs="Arial"/>
          <w:b/>
          <w:sz w:val="22"/>
        </w:rPr>
        <w:t xml:space="preserve"> and valuation</w:t>
      </w:r>
      <w:r w:rsidR="00825196" w:rsidRPr="000A7FD1">
        <w:rPr>
          <w:rFonts w:ascii="Arial" w:hAnsi="Arial" w:cs="Arial"/>
          <w:b/>
          <w:sz w:val="22"/>
        </w:rPr>
        <w:t>.</w:t>
      </w:r>
      <w:r w:rsidR="00A04DF5" w:rsidRPr="000A7FD1">
        <w:rPr>
          <w:rFonts w:ascii="Arial" w:hAnsi="Arial" w:cs="Arial"/>
          <w:b/>
          <w:sz w:val="22"/>
        </w:rPr>
        <w:t xml:space="preserve"> </w:t>
      </w:r>
      <w:r w:rsidR="00A04DF5" w:rsidRPr="000A7FD1">
        <w:rPr>
          <w:rFonts w:ascii="Arial" w:hAnsi="Arial" w:cs="Arial"/>
          <w:sz w:val="22"/>
        </w:rPr>
        <w:t>Outlays and adjustments are recorded at the correct amounts.</w:t>
      </w:r>
    </w:p>
    <w:p w14:paraId="447DEA74" w14:textId="6DCBAE08" w:rsidR="00A04DF5" w:rsidRPr="000A7FD1" w:rsidRDefault="00A04DF5" w:rsidP="006B46F1">
      <w:pPr>
        <w:pStyle w:val="FAM-Bullet-2"/>
        <w:numPr>
          <w:ilvl w:val="0"/>
          <w:numId w:val="8"/>
        </w:numPr>
        <w:rPr>
          <w:rFonts w:ascii="Arial" w:hAnsi="Arial" w:cs="Arial"/>
          <w:b/>
          <w:sz w:val="22"/>
        </w:rPr>
      </w:pPr>
      <w:r w:rsidRPr="000A7FD1">
        <w:rPr>
          <w:rFonts w:ascii="Arial" w:hAnsi="Arial" w:cs="Arial"/>
          <w:b/>
          <w:sz w:val="22"/>
        </w:rPr>
        <w:t>Classification</w:t>
      </w:r>
      <w:r w:rsidR="00825196" w:rsidRPr="000A7FD1">
        <w:rPr>
          <w:rFonts w:ascii="Arial" w:hAnsi="Arial" w:cs="Arial"/>
          <w:b/>
          <w:sz w:val="22"/>
        </w:rPr>
        <w:t>.</w:t>
      </w:r>
      <w:r w:rsidRPr="000A7FD1">
        <w:rPr>
          <w:rFonts w:ascii="Arial" w:hAnsi="Arial" w:cs="Arial"/>
          <w:b/>
          <w:sz w:val="22"/>
        </w:rPr>
        <w:t xml:space="preserve"> </w:t>
      </w:r>
      <w:r w:rsidRPr="000A7FD1">
        <w:rPr>
          <w:rFonts w:ascii="Arial" w:hAnsi="Arial" w:cs="Arial"/>
          <w:sz w:val="22"/>
        </w:rPr>
        <w:t>Outlays are recorded in the proper accounts (both by program and by object, if applicable), including the proper appropriation year if the account is multiyear. This is evidenced by “matching” the outlay to the underlying obligation.</w:t>
      </w:r>
    </w:p>
    <w:p w14:paraId="2D984074" w14:textId="39E05B3F" w:rsidR="00A04DF5" w:rsidRPr="000A7FD1" w:rsidRDefault="00A04DF5" w:rsidP="006B46F1">
      <w:pPr>
        <w:pStyle w:val="FAM-Bullet-2"/>
        <w:numPr>
          <w:ilvl w:val="0"/>
          <w:numId w:val="8"/>
        </w:numPr>
        <w:rPr>
          <w:rFonts w:ascii="Arial" w:hAnsi="Arial" w:cs="Arial"/>
          <w:sz w:val="22"/>
        </w:rPr>
      </w:pPr>
      <w:r w:rsidRPr="000A7FD1">
        <w:rPr>
          <w:rFonts w:ascii="Arial" w:hAnsi="Arial" w:cs="Arial"/>
          <w:b/>
          <w:sz w:val="22"/>
        </w:rPr>
        <w:t>Cutoff</w:t>
      </w:r>
      <w:r w:rsidR="00825196" w:rsidRPr="000A7FD1">
        <w:rPr>
          <w:rFonts w:ascii="Arial" w:hAnsi="Arial" w:cs="Arial"/>
          <w:b/>
          <w:sz w:val="22"/>
        </w:rPr>
        <w:t>.</w:t>
      </w:r>
      <w:r w:rsidRPr="000A7FD1">
        <w:rPr>
          <w:rFonts w:ascii="Arial" w:hAnsi="Arial" w:cs="Arial"/>
          <w:b/>
          <w:sz w:val="22"/>
        </w:rPr>
        <w:t xml:space="preserve"> </w:t>
      </w:r>
      <w:r w:rsidRPr="000A7FD1">
        <w:rPr>
          <w:rFonts w:ascii="Arial" w:hAnsi="Arial" w:cs="Arial"/>
          <w:sz w:val="22"/>
        </w:rPr>
        <w:t>Outlays and adjustments are recorded in the proper period.</w:t>
      </w:r>
    </w:p>
    <w:p w14:paraId="44ED7396" w14:textId="6F1960EB" w:rsidR="00A04DF5" w:rsidRPr="000A7FD1" w:rsidRDefault="00A04DF5" w:rsidP="00CC7A2D">
      <w:pPr>
        <w:pStyle w:val="FAM-Bullet-2"/>
        <w:numPr>
          <w:ilvl w:val="0"/>
          <w:numId w:val="21"/>
        </w:numPr>
        <w:rPr>
          <w:rFonts w:ascii="Arial" w:hAnsi="Arial" w:cs="Arial"/>
          <w:sz w:val="22"/>
        </w:rPr>
      </w:pPr>
      <w:r w:rsidRPr="000A7FD1">
        <w:rPr>
          <w:rFonts w:ascii="Arial" w:hAnsi="Arial" w:cs="Arial"/>
          <w:b/>
          <w:sz w:val="22"/>
        </w:rPr>
        <w:t>Obligation and expended authority balances</w:t>
      </w:r>
      <w:r w:rsidR="00825196" w:rsidRPr="000A7FD1">
        <w:rPr>
          <w:rFonts w:ascii="Arial" w:hAnsi="Arial" w:cs="Arial"/>
          <w:b/>
          <w:sz w:val="22"/>
        </w:rPr>
        <w:t>.</w:t>
      </w:r>
      <w:r w:rsidRPr="000A7FD1">
        <w:rPr>
          <w:rFonts w:ascii="Arial" w:hAnsi="Arial" w:cs="Arial"/>
          <w:sz w:val="22"/>
        </w:rPr>
        <w:t xml:space="preserve"> Control objectives relating to obligation and expended authority balances as of a point in time are</w:t>
      </w:r>
      <w:r w:rsidR="001566CD" w:rsidRPr="000A7FD1">
        <w:rPr>
          <w:rFonts w:ascii="Arial" w:hAnsi="Arial" w:cs="Arial"/>
          <w:sz w:val="22"/>
        </w:rPr>
        <w:t xml:space="preserve"> as follows</w:t>
      </w:r>
      <w:r w:rsidRPr="000A7FD1">
        <w:rPr>
          <w:rFonts w:ascii="Arial" w:hAnsi="Arial" w:cs="Arial"/>
          <w:sz w:val="22"/>
        </w:rPr>
        <w:t>:</w:t>
      </w:r>
    </w:p>
    <w:p w14:paraId="64782C57" w14:textId="3BA7F9D4" w:rsidR="00A04DF5" w:rsidRPr="000A7FD1" w:rsidRDefault="00A04DF5" w:rsidP="006B46F1">
      <w:pPr>
        <w:pStyle w:val="FAM-Bullet-2"/>
        <w:numPr>
          <w:ilvl w:val="0"/>
          <w:numId w:val="8"/>
        </w:numPr>
        <w:rPr>
          <w:rFonts w:ascii="Arial" w:hAnsi="Arial" w:cs="Arial"/>
          <w:sz w:val="22"/>
        </w:rPr>
      </w:pPr>
      <w:r w:rsidRPr="000A7FD1">
        <w:rPr>
          <w:rFonts w:ascii="Arial" w:hAnsi="Arial" w:cs="Arial"/>
          <w:b/>
          <w:sz w:val="22"/>
        </w:rPr>
        <w:t>Summarization</w:t>
      </w:r>
      <w:r w:rsidR="00825196" w:rsidRPr="000A7FD1">
        <w:rPr>
          <w:rFonts w:ascii="Arial" w:hAnsi="Arial" w:cs="Arial"/>
          <w:b/>
          <w:sz w:val="22"/>
        </w:rPr>
        <w:t>.</w:t>
      </w:r>
      <w:r w:rsidRPr="000A7FD1">
        <w:rPr>
          <w:rFonts w:ascii="Arial" w:hAnsi="Arial" w:cs="Arial"/>
          <w:b/>
          <w:sz w:val="22"/>
        </w:rPr>
        <w:t xml:space="preserve"> </w:t>
      </w:r>
      <w:r w:rsidRPr="000A7FD1">
        <w:rPr>
          <w:rFonts w:ascii="Arial" w:hAnsi="Arial" w:cs="Arial"/>
          <w:sz w:val="22"/>
        </w:rPr>
        <w:t>Recorded balances of obligation and expended authority accounts as of a given date are supported by appropriate detailed records that are accurately summarized and reconciled to the appropriation or fund account balance, by year, for each account.</w:t>
      </w:r>
    </w:p>
    <w:p w14:paraId="7149E031" w14:textId="36280791" w:rsidR="00A04DF5" w:rsidRPr="000A7FD1" w:rsidRDefault="003C50EB" w:rsidP="006B46F1">
      <w:pPr>
        <w:pStyle w:val="FAM-Bullet-2"/>
        <w:numPr>
          <w:ilvl w:val="0"/>
          <w:numId w:val="8"/>
        </w:numPr>
        <w:rPr>
          <w:rFonts w:ascii="Arial" w:hAnsi="Arial" w:cs="Arial"/>
          <w:sz w:val="22"/>
        </w:rPr>
      </w:pPr>
      <w:r w:rsidRPr="000A7FD1">
        <w:rPr>
          <w:rFonts w:ascii="Arial" w:hAnsi="Arial" w:cs="Arial"/>
          <w:b/>
          <w:sz w:val="22"/>
        </w:rPr>
        <w:t>Existence</w:t>
      </w:r>
      <w:r w:rsidR="00825196" w:rsidRPr="000A7FD1">
        <w:rPr>
          <w:rFonts w:ascii="Arial" w:hAnsi="Arial" w:cs="Arial"/>
          <w:b/>
          <w:sz w:val="22"/>
        </w:rPr>
        <w:t>.</w:t>
      </w:r>
      <w:r w:rsidR="00A04DF5" w:rsidRPr="000A7FD1">
        <w:rPr>
          <w:rFonts w:ascii="Arial" w:hAnsi="Arial" w:cs="Arial"/>
          <w:b/>
          <w:sz w:val="22"/>
        </w:rPr>
        <w:t xml:space="preserve"> </w:t>
      </w:r>
      <w:r w:rsidR="00A04DF5" w:rsidRPr="000A7FD1">
        <w:rPr>
          <w:rFonts w:ascii="Arial" w:hAnsi="Arial" w:cs="Arial"/>
          <w:sz w:val="22"/>
        </w:rPr>
        <w:t xml:space="preserve">Recorded account balances </w:t>
      </w:r>
      <w:r w:rsidRPr="000A7FD1">
        <w:rPr>
          <w:rFonts w:ascii="Arial" w:hAnsi="Arial" w:cs="Arial"/>
          <w:sz w:val="22"/>
        </w:rPr>
        <w:t xml:space="preserve">exist and </w:t>
      </w:r>
      <w:r w:rsidR="00A04DF5" w:rsidRPr="000A7FD1">
        <w:rPr>
          <w:rFonts w:ascii="Arial" w:hAnsi="Arial" w:cs="Arial"/>
          <w:sz w:val="22"/>
        </w:rPr>
        <w:t>are supported by valid obligations and expended authority transactions.</w:t>
      </w:r>
    </w:p>
    <w:p w14:paraId="3A2AA8CB" w14:textId="38B71F71" w:rsidR="00A04DF5" w:rsidRPr="000A7FD1" w:rsidRDefault="00A04DF5" w:rsidP="006B46F1">
      <w:pPr>
        <w:pStyle w:val="FAM-Bullet-2"/>
        <w:numPr>
          <w:ilvl w:val="0"/>
          <w:numId w:val="8"/>
        </w:numPr>
        <w:rPr>
          <w:rFonts w:ascii="Arial" w:hAnsi="Arial" w:cs="Arial"/>
          <w:sz w:val="22"/>
        </w:rPr>
      </w:pPr>
      <w:r w:rsidRPr="000A7FD1">
        <w:rPr>
          <w:rFonts w:ascii="Arial" w:hAnsi="Arial" w:cs="Arial"/>
          <w:b/>
          <w:sz w:val="22"/>
        </w:rPr>
        <w:t>Compliance</w:t>
      </w:r>
      <w:r w:rsidR="00825196" w:rsidRPr="000A7FD1">
        <w:rPr>
          <w:rFonts w:ascii="Arial" w:hAnsi="Arial" w:cs="Arial"/>
          <w:b/>
          <w:sz w:val="22"/>
        </w:rPr>
        <w:t>.</w:t>
      </w:r>
      <w:r w:rsidRPr="000A7FD1">
        <w:rPr>
          <w:rFonts w:ascii="Arial" w:hAnsi="Arial" w:cs="Arial"/>
          <w:b/>
          <w:sz w:val="22"/>
        </w:rPr>
        <w:t xml:space="preserve"> </w:t>
      </w:r>
      <w:r w:rsidRPr="000A7FD1">
        <w:rPr>
          <w:rFonts w:ascii="Arial" w:hAnsi="Arial" w:cs="Arial"/>
          <w:sz w:val="22"/>
        </w:rPr>
        <w:t xml:space="preserve">Total undelivered orders </w:t>
      </w:r>
      <w:r w:rsidR="000C1B70" w:rsidRPr="000A7FD1">
        <w:rPr>
          <w:rFonts w:ascii="Arial" w:hAnsi="Arial" w:cs="Arial"/>
          <w:sz w:val="22"/>
        </w:rPr>
        <w:t xml:space="preserve">(i.e., the value of goods and services ordered and obligated that have not been received) and other unliquidated obligations </w:t>
      </w:r>
      <w:r w:rsidRPr="000A7FD1">
        <w:rPr>
          <w:rFonts w:ascii="Arial" w:hAnsi="Arial" w:cs="Arial"/>
          <w:sz w:val="22"/>
        </w:rPr>
        <w:t xml:space="preserve">plus total expended authority transactions do not exceed the amount of the appropriation or other statutory limitations (such as obligation ceilings or earmarks) that may exist by appropriation period. These other statutory limitations may limit the amount of obligations that can be incurred by program or object classification. </w:t>
      </w:r>
    </w:p>
    <w:p w14:paraId="119A4A4B" w14:textId="6BE87450" w:rsidR="00A04DF5" w:rsidRPr="000A7FD1" w:rsidRDefault="00A04DF5" w:rsidP="008B6636">
      <w:pPr>
        <w:pStyle w:val="FAMContinuation3"/>
      </w:pPr>
      <w:r w:rsidRPr="000A7FD1">
        <w:t xml:space="preserve">In addition, total payments of unliquidated obligations that relate to closed accounts do not exceed the limits described in OMB Circular No. A-11 (for annual accounts, 1 percent of the account’s current year appropriation; for multiyear accounts, 1 percent of all appropriations that </w:t>
      </w:r>
      <w:r w:rsidRPr="000A7FD1">
        <w:lastRenderedPageBreak/>
        <w:t>are available for obligation for the same purpose, which is a single, cumulative limit).</w:t>
      </w:r>
    </w:p>
    <w:p w14:paraId="6720CADA" w14:textId="643DFCC1" w:rsidR="00A04DF5" w:rsidRPr="000A7FD1" w:rsidRDefault="00A04DF5" w:rsidP="00CC7A2D">
      <w:pPr>
        <w:pStyle w:val="FAM-Bullet-2"/>
        <w:numPr>
          <w:ilvl w:val="0"/>
          <w:numId w:val="21"/>
        </w:numPr>
        <w:rPr>
          <w:rFonts w:ascii="Arial" w:hAnsi="Arial" w:cs="Arial"/>
          <w:sz w:val="22"/>
        </w:rPr>
      </w:pPr>
      <w:r w:rsidRPr="000A7FD1">
        <w:rPr>
          <w:rFonts w:ascii="Arial" w:hAnsi="Arial" w:cs="Arial"/>
          <w:b/>
          <w:sz w:val="22"/>
        </w:rPr>
        <w:t>Appropriation account balances</w:t>
      </w:r>
      <w:r w:rsidR="00825196" w:rsidRPr="000A7FD1">
        <w:rPr>
          <w:rFonts w:ascii="Arial" w:hAnsi="Arial" w:cs="Arial"/>
          <w:b/>
          <w:sz w:val="22"/>
        </w:rPr>
        <w:t>.</w:t>
      </w:r>
      <w:r w:rsidRPr="000A7FD1">
        <w:rPr>
          <w:rFonts w:ascii="Arial" w:hAnsi="Arial" w:cs="Arial"/>
          <w:sz w:val="22"/>
        </w:rPr>
        <w:t xml:space="preserve"> </w:t>
      </w:r>
      <w:r w:rsidR="006266BA" w:rsidRPr="000A7FD1">
        <w:rPr>
          <w:rFonts w:ascii="Arial" w:hAnsi="Arial" w:cs="Arial"/>
          <w:sz w:val="22"/>
        </w:rPr>
        <w:t xml:space="preserve">The control </w:t>
      </w:r>
      <w:r w:rsidRPr="000A7FD1">
        <w:rPr>
          <w:rFonts w:ascii="Arial" w:hAnsi="Arial" w:cs="Arial"/>
          <w:sz w:val="22"/>
        </w:rPr>
        <w:t xml:space="preserve">objective relating to appropriation account balances as of a point in time </w:t>
      </w:r>
      <w:r w:rsidR="006266BA" w:rsidRPr="000A7FD1">
        <w:rPr>
          <w:rFonts w:ascii="Arial" w:hAnsi="Arial" w:cs="Arial"/>
          <w:sz w:val="22"/>
        </w:rPr>
        <w:t xml:space="preserve">is </w:t>
      </w:r>
      <w:r w:rsidR="001566CD" w:rsidRPr="000A7FD1">
        <w:rPr>
          <w:rFonts w:ascii="Arial" w:hAnsi="Arial" w:cs="Arial"/>
          <w:sz w:val="22"/>
        </w:rPr>
        <w:t>as follows</w:t>
      </w:r>
      <w:r w:rsidRPr="000A7FD1">
        <w:rPr>
          <w:rFonts w:ascii="Arial" w:hAnsi="Arial" w:cs="Arial"/>
          <w:sz w:val="22"/>
        </w:rPr>
        <w:t>:</w:t>
      </w:r>
    </w:p>
    <w:p w14:paraId="70130275" w14:textId="391655A0" w:rsidR="00A04DF5" w:rsidRPr="000A7FD1" w:rsidRDefault="00A04DF5" w:rsidP="006B46F1">
      <w:pPr>
        <w:pStyle w:val="FAM-Bullet-2"/>
        <w:numPr>
          <w:ilvl w:val="0"/>
          <w:numId w:val="8"/>
        </w:numPr>
        <w:rPr>
          <w:rFonts w:ascii="Arial" w:hAnsi="Arial" w:cs="Arial"/>
          <w:sz w:val="22"/>
        </w:rPr>
      </w:pPr>
      <w:r w:rsidRPr="000A7FD1">
        <w:rPr>
          <w:rFonts w:ascii="Arial" w:hAnsi="Arial" w:cs="Arial"/>
          <w:b/>
          <w:sz w:val="22"/>
        </w:rPr>
        <w:t>Cutoff/completeness/existence</w:t>
      </w:r>
      <w:r w:rsidR="00825196" w:rsidRPr="000A7FD1">
        <w:rPr>
          <w:rFonts w:ascii="Arial" w:hAnsi="Arial" w:cs="Arial"/>
          <w:b/>
          <w:sz w:val="22"/>
        </w:rPr>
        <w:t>.</w:t>
      </w:r>
      <w:r w:rsidRPr="000A7FD1">
        <w:rPr>
          <w:rFonts w:ascii="Arial" w:hAnsi="Arial" w:cs="Arial"/>
          <w:sz w:val="22"/>
        </w:rPr>
        <w:t xml:space="preserve"> Fixed appropriation accounts are identified by fiscal year after the end of the period in which they are available for obligation until they are closed (31 U.S.C. </w:t>
      </w:r>
      <w:r w:rsidR="00D85C04" w:rsidRPr="000A7FD1">
        <w:rPr>
          <w:rFonts w:ascii="Arial" w:hAnsi="Arial" w:cs="Arial"/>
          <w:sz w:val="22"/>
        </w:rPr>
        <w:t xml:space="preserve">§ </w:t>
      </w:r>
      <w:r w:rsidRPr="000A7FD1">
        <w:rPr>
          <w:rFonts w:ascii="Arial" w:hAnsi="Arial" w:cs="Arial"/>
          <w:sz w:val="22"/>
        </w:rPr>
        <w:t>1553(a)).</w:t>
      </w:r>
    </w:p>
    <w:p w14:paraId="2452269C" w14:textId="4FC2FEDF" w:rsidR="00A04DF5" w:rsidRPr="000A7FD1" w:rsidRDefault="00A04DF5" w:rsidP="008B6636">
      <w:pPr>
        <w:pStyle w:val="FAMContinuation3"/>
        <w:rPr>
          <w:szCs w:val="22"/>
        </w:rPr>
      </w:pPr>
      <w:r w:rsidRPr="000A7FD1">
        <w:rPr>
          <w:szCs w:val="22"/>
        </w:rPr>
        <w:t xml:space="preserve">Fixed appropriation accounts are closed on September 30 of the </w:t>
      </w:r>
      <w:r w:rsidR="001566CD" w:rsidRPr="000A7FD1">
        <w:rPr>
          <w:szCs w:val="22"/>
        </w:rPr>
        <w:t xml:space="preserve">fifth </w:t>
      </w:r>
      <w:r w:rsidRPr="000A7FD1">
        <w:rPr>
          <w:szCs w:val="22"/>
        </w:rPr>
        <w:t xml:space="preserve">fiscal year after the end of the period that they are available for obligation. Any remaining balance (whether obligated or unobligated) in the account is canceled and is no longer available for obligation or expenditure for any purpose (31 U.S.C. </w:t>
      </w:r>
      <w:r w:rsidR="00D85C04" w:rsidRPr="000A7FD1">
        <w:t xml:space="preserve">§ </w:t>
      </w:r>
      <w:r w:rsidRPr="000A7FD1">
        <w:rPr>
          <w:szCs w:val="22"/>
        </w:rPr>
        <w:t>1552(a)). For example</w:t>
      </w:r>
      <w:r w:rsidR="007B48CB" w:rsidRPr="000A7FD1">
        <w:rPr>
          <w:szCs w:val="22"/>
        </w:rPr>
        <w:t>, at the end of fiscal year 2017</w:t>
      </w:r>
      <w:r w:rsidRPr="000A7FD1">
        <w:rPr>
          <w:szCs w:val="22"/>
        </w:rPr>
        <w:t>, the entity has accounts only for fixed appropriations that expired</w:t>
      </w:r>
      <w:r w:rsidR="007B48CB" w:rsidRPr="000A7FD1">
        <w:rPr>
          <w:szCs w:val="22"/>
        </w:rPr>
        <w:t xml:space="preserve"> at the end of fiscal years 2013, 2014, 2015, 2016, and 2017</w:t>
      </w:r>
      <w:r w:rsidRPr="000A7FD1">
        <w:rPr>
          <w:szCs w:val="22"/>
        </w:rPr>
        <w:t xml:space="preserve">. </w:t>
      </w:r>
      <w:r w:rsidR="007B48CB" w:rsidRPr="000A7FD1">
        <w:rPr>
          <w:szCs w:val="22"/>
        </w:rPr>
        <w:t>Accounts for a</w:t>
      </w:r>
      <w:r w:rsidRPr="000A7FD1">
        <w:rPr>
          <w:szCs w:val="22"/>
        </w:rPr>
        <w:t>ll fixed appropriations that expired prior to these dates have been closed</w:t>
      </w:r>
      <w:r w:rsidR="006D5DAC" w:rsidRPr="000A7FD1">
        <w:rPr>
          <w:szCs w:val="22"/>
        </w:rPr>
        <w:t>,</w:t>
      </w:r>
      <w:r w:rsidRPr="000A7FD1">
        <w:rPr>
          <w:szCs w:val="22"/>
        </w:rPr>
        <w:t xml:space="preserve"> and </w:t>
      </w:r>
      <w:r w:rsidR="007B48CB" w:rsidRPr="000A7FD1">
        <w:rPr>
          <w:szCs w:val="22"/>
        </w:rPr>
        <w:t>their remaining balance</w:t>
      </w:r>
      <w:r w:rsidR="006D5DAC" w:rsidRPr="000A7FD1">
        <w:rPr>
          <w:szCs w:val="22"/>
        </w:rPr>
        <w:t>s</w:t>
      </w:r>
      <w:r w:rsidR="007B48CB" w:rsidRPr="000A7FD1">
        <w:rPr>
          <w:szCs w:val="22"/>
        </w:rPr>
        <w:t xml:space="preserve"> ha</w:t>
      </w:r>
      <w:r w:rsidR="006D5DAC" w:rsidRPr="000A7FD1">
        <w:rPr>
          <w:szCs w:val="22"/>
        </w:rPr>
        <w:t>ve</w:t>
      </w:r>
      <w:r w:rsidR="007B48CB" w:rsidRPr="000A7FD1">
        <w:rPr>
          <w:szCs w:val="22"/>
        </w:rPr>
        <w:t xml:space="preserve"> been </w:t>
      </w:r>
      <w:r w:rsidRPr="000A7FD1">
        <w:rPr>
          <w:szCs w:val="22"/>
        </w:rPr>
        <w:t>canceled a</w:t>
      </w:r>
      <w:r w:rsidR="007B48CB" w:rsidRPr="000A7FD1">
        <w:rPr>
          <w:szCs w:val="22"/>
        </w:rPr>
        <w:t>s of the end of fiscal year 2017</w:t>
      </w:r>
      <w:r w:rsidRPr="000A7FD1">
        <w:rPr>
          <w:szCs w:val="22"/>
        </w:rPr>
        <w:t>.</w:t>
      </w:r>
    </w:p>
    <w:p w14:paraId="7E9FFBEB" w14:textId="03029088" w:rsidR="00A04DF5" w:rsidRPr="000A7FD1" w:rsidRDefault="00A04DF5" w:rsidP="008B6636">
      <w:pPr>
        <w:pStyle w:val="FAMContinuation3"/>
        <w:rPr>
          <w:szCs w:val="22"/>
        </w:rPr>
      </w:pPr>
      <w:r w:rsidRPr="000A7FD1">
        <w:rPr>
          <w:szCs w:val="22"/>
        </w:rPr>
        <w:t xml:space="preserve">Appropriation accounts that are available for obligation for an indefinite period are closed if (1) the entity head or the President determines that the purposes for which the appropriation was made have been carried out and (2) no disbursement has been made against the appropriation for 2 consecutive fiscal years (31 U.S.C. </w:t>
      </w:r>
      <w:r w:rsidR="00D85C04" w:rsidRPr="000A7FD1">
        <w:t xml:space="preserve">§ </w:t>
      </w:r>
      <w:r w:rsidRPr="000A7FD1">
        <w:rPr>
          <w:szCs w:val="22"/>
        </w:rPr>
        <w:t>1555).</w:t>
      </w:r>
    </w:p>
    <w:p w14:paraId="5A9070FD" w14:textId="28DFA8FA" w:rsidR="00A04DF5" w:rsidRPr="000A7FD1" w:rsidRDefault="00A04DF5" w:rsidP="00CC7A2D">
      <w:pPr>
        <w:pStyle w:val="FAM-Bullet-2"/>
        <w:numPr>
          <w:ilvl w:val="0"/>
          <w:numId w:val="21"/>
        </w:numPr>
        <w:rPr>
          <w:rFonts w:ascii="Arial" w:hAnsi="Arial" w:cs="Arial"/>
          <w:sz w:val="22"/>
        </w:rPr>
      </w:pPr>
      <w:r w:rsidRPr="000A7FD1">
        <w:rPr>
          <w:rFonts w:ascii="Arial" w:hAnsi="Arial" w:cs="Arial"/>
          <w:b/>
          <w:sz w:val="22"/>
        </w:rPr>
        <w:t>Outlay account balances</w:t>
      </w:r>
      <w:r w:rsidR="00825196" w:rsidRPr="000A7FD1">
        <w:rPr>
          <w:rFonts w:ascii="Arial" w:hAnsi="Arial" w:cs="Arial"/>
          <w:b/>
          <w:sz w:val="22"/>
        </w:rPr>
        <w:t>.</w:t>
      </w:r>
      <w:r w:rsidRPr="000A7FD1">
        <w:rPr>
          <w:rFonts w:ascii="Arial" w:hAnsi="Arial" w:cs="Arial"/>
          <w:sz w:val="22"/>
        </w:rPr>
        <w:t xml:space="preserve"> Control objectives relating to outlay account balances appearing in the statement of budgetary resources for the fiscal year are</w:t>
      </w:r>
      <w:r w:rsidR="001566CD" w:rsidRPr="000A7FD1">
        <w:rPr>
          <w:rFonts w:ascii="Arial" w:hAnsi="Arial" w:cs="Arial"/>
          <w:sz w:val="22"/>
        </w:rPr>
        <w:t xml:space="preserve"> as follows</w:t>
      </w:r>
      <w:r w:rsidRPr="000A7FD1">
        <w:rPr>
          <w:rFonts w:ascii="Arial" w:hAnsi="Arial" w:cs="Arial"/>
          <w:sz w:val="22"/>
        </w:rPr>
        <w:t>:</w:t>
      </w:r>
    </w:p>
    <w:p w14:paraId="724B753F" w14:textId="27624E19" w:rsidR="00A04DF5" w:rsidRPr="000A7FD1" w:rsidRDefault="00A04DF5" w:rsidP="006B46F1">
      <w:pPr>
        <w:pStyle w:val="FAM-Bullet-2"/>
        <w:numPr>
          <w:ilvl w:val="0"/>
          <w:numId w:val="8"/>
        </w:numPr>
        <w:rPr>
          <w:rFonts w:ascii="Arial" w:hAnsi="Arial" w:cs="Arial"/>
          <w:sz w:val="22"/>
        </w:rPr>
      </w:pPr>
      <w:r w:rsidRPr="000A7FD1">
        <w:rPr>
          <w:rFonts w:ascii="Arial" w:hAnsi="Arial" w:cs="Arial"/>
          <w:b/>
          <w:sz w:val="22"/>
        </w:rPr>
        <w:t>Summarization</w:t>
      </w:r>
      <w:r w:rsidR="00825196" w:rsidRPr="000A7FD1">
        <w:rPr>
          <w:rFonts w:ascii="Arial" w:hAnsi="Arial" w:cs="Arial"/>
          <w:b/>
          <w:sz w:val="22"/>
        </w:rPr>
        <w:t>.</w:t>
      </w:r>
      <w:r w:rsidRPr="000A7FD1">
        <w:rPr>
          <w:rFonts w:ascii="Arial" w:hAnsi="Arial" w:cs="Arial"/>
          <w:sz w:val="22"/>
        </w:rPr>
        <w:t xml:space="preserve"> Recorded balances of outlay accounts for the fiscal year are supported by appropriate detailed records that are accurately summarized for each account.</w:t>
      </w:r>
    </w:p>
    <w:p w14:paraId="53DDDBD6" w14:textId="015ACF4E" w:rsidR="00A04DF5" w:rsidRPr="000A7FD1" w:rsidRDefault="003C50EB" w:rsidP="006B46F1">
      <w:pPr>
        <w:pStyle w:val="FAM-Bullet-2"/>
        <w:numPr>
          <w:ilvl w:val="0"/>
          <w:numId w:val="8"/>
        </w:numPr>
        <w:rPr>
          <w:rFonts w:ascii="Arial" w:hAnsi="Arial" w:cs="Arial"/>
          <w:sz w:val="22"/>
        </w:rPr>
      </w:pPr>
      <w:r w:rsidRPr="000A7FD1">
        <w:rPr>
          <w:rFonts w:ascii="Arial" w:hAnsi="Arial" w:cs="Arial"/>
          <w:b/>
          <w:sz w:val="22"/>
        </w:rPr>
        <w:t>Existence</w:t>
      </w:r>
      <w:r w:rsidR="00825196" w:rsidRPr="000A7FD1">
        <w:rPr>
          <w:rFonts w:ascii="Arial" w:hAnsi="Arial" w:cs="Arial"/>
          <w:b/>
          <w:sz w:val="22"/>
        </w:rPr>
        <w:t>.</w:t>
      </w:r>
      <w:r w:rsidR="00A04DF5" w:rsidRPr="000A7FD1">
        <w:rPr>
          <w:rFonts w:ascii="Arial" w:hAnsi="Arial" w:cs="Arial"/>
          <w:sz w:val="22"/>
        </w:rPr>
        <w:t xml:space="preserve"> Recorded account balances </w:t>
      </w:r>
      <w:r w:rsidRPr="000A7FD1">
        <w:rPr>
          <w:rFonts w:ascii="Arial" w:hAnsi="Arial" w:cs="Arial"/>
          <w:sz w:val="22"/>
        </w:rPr>
        <w:t xml:space="preserve">exist and </w:t>
      </w:r>
      <w:r w:rsidR="00A04DF5" w:rsidRPr="000A7FD1">
        <w:rPr>
          <w:rFonts w:ascii="Arial" w:hAnsi="Arial" w:cs="Arial"/>
          <w:sz w:val="22"/>
        </w:rPr>
        <w:t>are supported by valid outlay transactions.</w:t>
      </w:r>
    </w:p>
    <w:p w14:paraId="01477497" w14:textId="13CF9BFC" w:rsidR="00A04DF5" w:rsidRPr="000A7FD1" w:rsidRDefault="00A04DF5" w:rsidP="00CC7A2D">
      <w:pPr>
        <w:pStyle w:val="FAM-Bullet-2"/>
        <w:numPr>
          <w:ilvl w:val="0"/>
          <w:numId w:val="21"/>
        </w:numPr>
        <w:rPr>
          <w:rFonts w:ascii="Arial" w:hAnsi="Arial" w:cs="Arial"/>
          <w:sz w:val="22"/>
        </w:rPr>
      </w:pPr>
      <w:r w:rsidRPr="000A7FD1">
        <w:rPr>
          <w:rFonts w:ascii="Arial" w:hAnsi="Arial" w:cs="Arial"/>
          <w:b/>
          <w:sz w:val="22"/>
        </w:rPr>
        <w:t>Recording of cash receipts related to closed appropriation accounts</w:t>
      </w:r>
      <w:r w:rsidR="00825196" w:rsidRPr="000A7FD1">
        <w:rPr>
          <w:rFonts w:ascii="Arial" w:hAnsi="Arial" w:cs="Arial"/>
          <w:b/>
          <w:sz w:val="22"/>
        </w:rPr>
        <w:t>.</w:t>
      </w:r>
      <w:r w:rsidRPr="000A7FD1">
        <w:rPr>
          <w:rFonts w:ascii="Arial" w:hAnsi="Arial" w:cs="Arial"/>
          <w:sz w:val="22"/>
        </w:rPr>
        <w:t xml:space="preserve"> </w:t>
      </w:r>
      <w:r w:rsidR="001566CD" w:rsidRPr="000A7FD1">
        <w:rPr>
          <w:rFonts w:ascii="Arial" w:hAnsi="Arial" w:cs="Arial"/>
          <w:sz w:val="22"/>
        </w:rPr>
        <w:t>This control is t</w:t>
      </w:r>
      <w:r w:rsidRPr="000A7FD1">
        <w:rPr>
          <w:rFonts w:ascii="Arial" w:hAnsi="Arial" w:cs="Arial"/>
          <w:sz w:val="22"/>
        </w:rPr>
        <w:t>o be evaluated only if these amounts are expected to exceed performance materiality. The control objective is</w:t>
      </w:r>
      <w:r w:rsidR="001566CD" w:rsidRPr="000A7FD1">
        <w:rPr>
          <w:rFonts w:ascii="Arial" w:hAnsi="Arial" w:cs="Arial"/>
          <w:sz w:val="22"/>
        </w:rPr>
        <w:t xml:space="preserve"> as follows</w:t>
      </w:r>
      <w:r w:rsidRPr="000A7FD1">
        <w:rPr>
          <w:rFonts w:ascii="Arial" w:hAnsi="Arial" w:cs="Arial"/>
          <w:sz w:val="22"/>
        </w:rPr>
        <w:t>:</w:t>
      </w:r>
    </w:p>
    <w:p w14:paraId="2D508226" w14:textId="1E9FD250" w:rsidR="00A04DF5" w:rsidRPr="000A7FD1" w:rsidRDefault="00A04DF5" w:rsidP="006B46F1">
      <w:pPr>
        <w:pStyle w:val="FAM-Bullet-2"/>
        <w:numPr>
          <w:ilvl w:val="0"/>
          <w:numId w:val="8"/>
        </w:numPr>
        <w:rPr>
          <w:rFonts w:ascii="Arial" w:hAnsi="Arial" w:cs="Arial"/>
          <w:sz w:val="22"/>
        </w:rPr>
      </w:pPr>
      <w:r w:rsidRPr="000A7FD1">
        <w:rPr>
          <w:rFonts w:ascii="Arial" w:hAnsi="Arial" w:cs="Arial"/>
          <w:b/>
          <w:sz w:val="22"/>
        </w:rPr>
        <w:t>Compliance</w:t>
      </w:r>
      <w:r w:rsidR="00825196" w:rsidRPr="000A7FD1">
        <w:rPr>
          <w:rFonts w:ascii="Arial" w:hAnsi="Arial" w:cs="Arial"/>
          <w:b/>
          <w:sz w:val="22"/>
        </w:rPr>
        <w:t>.</w:t>
      </w:r>
      <w:r w:rsidRPr="000A7FD1">
        <w:rPr>
          <w:rFonts w:ascii="Arial" w:hAnsi="Arial" w:cs="Arial"/>
          <w:sz w:val="22"/>
        </w:rPr>
        <w:t xml:space="preserve"> Collections authorized or required to be credited to an appropriation account but not received before the account is closed are deposited in the Treasury as miscellaneous receipts (31 U.S.C. </w:t>
      </w:r>
      <w:r w:rsidR="00261887" w:rsidRPr="000A7FD1">
        <w:rPr>
          <w:rFonts w:ascii="Arial" w:hAnsi="Arial" w:cs="Arial"/>
          <w:sz w:val="22"/>
        </w:rPr>
        <w:t xml:space="preserve">§ </w:t>
      </w:r>
      <w:r w:rsidRPr="000A7FD1">
        <w:rPr>
          <w:rFonts w:ascii="Arial" w:hAnsi="Arial" w:cs="Arial"/>
          <w:sz w:val="22"/>
        </w:rPr>
        <w:t>1552(b)).</w:t>
      </w:r>
    </w:p>
    <w:p w14:paraId="049DB59D" w14:textId="77777777" w:rsidR="00A04DF5" w:rsidRPr="000A7FD1" w:rsidRDefault="00A04DF5" w:rsidP="004E3BDA">
      <w:pPr>
        <w:pStyle w:val="StyleHeading3FAM"/>
      </w:pPr>
      <w:r w:rsidRPr="000A7FD1">
        <w:rPr>
          <w:rFonts w:cs="Arial"/>
        </w:rPr>
        <w:t>Budget Control Objectives under the Federal</w:t>
      </w:r>
      <w:r w:rsidRPr="000A7FD1">
        <w:t xml:space="preserve"> Credit Reform Act</w:t>
      </w:r>
    </w:p>
    <w:p w14:paraId="314D03CB" w14:textId="77777777" w:rsidR="00A04DF5" w:rsidRPr="000A7FD1" w:rsidRDefault="00A04DF5" w:rsidP="004A102E">
      <w:pPr>
        <w:pStyle w:val="FAM-Subsection"/>
      </w:pPr>
      <w:r w:rsidRPr="000A7FD1">
        <w:t xml:space="preserve">The Federal Credit Reform Act (FCRA) contains provisions regarding the recording and reporting of activity related to direct loans, loan guarantees, and modifications of these items for budget accounting purposes. Definitions of these and other FCRA terms are provided in paragraph .03 below. For transactions and account balances related to these types of activities, the auditor generally should use the budget control objectives listed in FAM 395 F and supplement them with the following budget control objectives related to FCRA. Additional guidance on FCRA accounting for budget purposes is included in OMB Circular No. A-11. </w:t>
      </w:r>
      <w:r w:rsidRPr="000A7FD1">
        <w:lastRenderedPageBreak/>
        <w:t xml:space="preserve">Also, see Federal Financial Accounting and Auditing Technical Releases No. 3, </w:t>
      </w:r>
      <w:r w:rsidRPr="000A7FD1">
        <w:rPr>
          <w:i/>
        </w:rPr>
        <w:t>Auditing Estimates for Direct Loan and Loan Guarantee Subsidies Under the Federal Credit Reform Act</w:t>
      </w:r>
      <w:r w:rsidRPr="000A7FD1">
        <w:t xml:space="preserve"> (as amended), and No. 6, </w:t>
      </w:r>
      <w:r w:rsidRPr="000A7FD1">
        <w:rPr>
          <w:i/>
        </w:rPr>
        <w:t>Preparing Estimates for Direct Loan and Loan Guarantee Subsidies Under the Federal Credit Reform Act</w:t>
      </w:r>
      <w:r w:rsidRPr="000A7FD1">
        <w:t>.</w:t>
      </w:r>
    </w:p>
    <w:p w14:paraId="729743F8" w14:textId="74541C24" w:rsidR="00A04DF5" w:rsidRPr="000A7FD1" w:rsidRDefault="00A04DF5" w:rsidP="00CC7A2D">
      <w:pPr>
        <w:pStyle w:val="FAM-Bullet-2"/>
        <w:numPr>
          <w:ilvl w:val="0"/>
          <w:numId w:val="22"/>
        </w:numPr>
        <w:rPr>
          <w:rFonts w:ascii="Arial" w:hAnsi="Arial" w:cs="Arial"/>
          <w:sz w:val="22"/>
        </w:rPr>
      </w:pPr>
      <w:r w:rsidRPr="000A7FD1">
        <w:rPr>
          <w:rFonts w:ascii="Arial" w:hAnsi="Arial" w:cs="Arial"/>
          <w:b/>
          <w:sz w:val="22"/>
        </w:rPr>
        <w:t>Obligation transactions</w:t>
      </w:r>
      <w:r w:rsidR="00825196" w:rsidRPr="000A7FD1">
        <w:rPr>
          <w:rFonts w:ascii="Arial" w:hAnsi="Arial" w:cs="Arial"/>
          <w:b/>
          <w:sz w:val="22"/>
        </w:rPr>
        <w:t>.</w:t>
      </w:r>
      <w:r w:rsidRPr="000A7FD1">
        <w:rPr>
          <w:rFonts w:ascii="Arial" w:hAnsi="Arial" w:cs="Arial"/>
          <w:sz w:val="22"/>
        </w:rPr>
        <w:t xml:space="preserve"> Obligation transactions include direct loan obligations, loan guarantee commitments, and modifications that change the cost of an outstanding direct loan or loan guarantee (modifications do not include changes to outstanding direct loans or loan guarantees that are within the terms of existing contracts or through other existing authorities). </w:t>
      </w:r>
      <w:r w:rsidR="002646EF" w:rsidRPr="000A7FD1">
        <w:rPr>
          <w:rFonts w:ascii="Arial" w:hAnsi="Arial" w:cs="Arial"/>
          <w:sz w:val="22"/>
        </w:rPr>
        <w:t xml:space="preserve">The supplemental </w:t>
      </w:r>
      <w:r w:rsidRPr="000A7FD1">
        <w:rPr>
          <w:rFonts w:ascii="Arial" w:hAnsi="Arial" w:cs="Arial"/>
          <w:sz w:val="22"/>
        </w:rPr>
        <w:t xml:space="preserve">control objective relating to obligation transactions under FCRA </w:t>
      </w:r>
      <w:r w:rsidR="002646EF" w:rsidRPr="000A7FD1">
        <w:rPr>
          <w:rFonts w:ascii="Arial" w:hAnsi="Arial" w:cs="Arial"/>
          <w:sz w:val="22"/>
        </w:rPr>
        <w:t xml:space="preserve">is </w:t>
      </w:r>
      <w:r w:rsidR="002E3C5A" w:rsidRPr="000A7FD1">
        <w:rPr>
          <w:rFonts w:ascii="Arial" w:hAnsi="Arial" w:cs="Arial"/>
          <w:sz w:val="22"/>
        </w:rPr>
        <w:t>as follows</w:t>
      </w:r>
      <w:r w:rsidRPr="000A7FD1">
        <w:rPr>
          <w:rFonts w:ascii="Arial" w:hAnsi="Arial" w:cs="Arial"/>
          <w:sz w:val="22"/>
        </w:rPr>
        <w:t>:</w:t>
      </w:r>
    </w:p>
    <w:p w14:paraId="301772A6" w14:textId="59C887CD" w:rsidR="00A04DF5" w:rsidRPr="000A7FD1" w:rsidRDefault="00A04DF5" w:rsidP="006B46F1">
      <w:pPr>
        <w:pStyle w:val="FAM-Bullet-2"/>
        <w:numPr>
          <w:ilvl w:val="0"/>
          <w:numId w:val="8"/>
        </w:numPr>
        <w:rPr>
          <w:rFonts w:ascii="Arial" w:hAnsi="Arial" w:cs="Arial"/>
          <w:sz w:val="22"/>
        </w:rPr>
      </w:pPr>
      <w:r w:rsidRPr="000A7FD1">
        <w:rPr>
          <w:rFonts w:ascii="Arial" w:hAnsi="Arial" w:cs="Arial"/>
          <w:b/>
          <w:sz w:val="22"/>
        </w:rPr>
        <w:t>Valuation</w:t>
      </w:r>
      <w:r w:rsidR="00825196" w:rsidRPr="000A7FD1">
        <w:rPr>
          <w:rFonts w:ascii="Arial" w:hAnsi="Arial" w:cs="Arial"/>
          <w:b/>
          <w:sz w:val="22"/>
        </w:rPr>
        <w:t>.</w:t>
      </w:r>
      <w:r w:rsidRPr="000A7FD1">
        <w:rPr>
          <w:rFonts w:ascii="Arial" w:hAnsi="Arial" w:cs="Arial"/>
          <w:sz w:val="22"/>
        </w:rPr>
        <w:t xml:space="preserve"> When funds are obligated for a direct loan or loan guarantee, the estimated cost shall be based on the “current” assumptions,</w:t>
      </w:r>
      <w:r w:rsidR="009865BA" w:rsidRPr="000A7FD1">
        <w:rPr>
          <w:rStyle w:val="FootnoteReference"/>
          <w:rFonts w:ascii="Arial" w:hAnsi="Arial" w:cs="Arial"/>
          <w:sz w:val="22"/>
        </w:rPr>
        <w:footnoteReference w:id="21"/>
      </w:r>
      <w:r w:rsidRPr="000A7FD1">
        <w:rPr>
          <w:rFonts w:ascii="Arial" w:hAnsi="Arial" w:cs="Arial"/>
          <w:sz w:val="22"/>
        </w:rPr>
        <w:t xml:space="preserve"> adjusted to incorporate the terms of the loan contract, for the fiscal year in </w:t>
      </w:r>
      <w:r w:rsidR="008A7986" w:rsidRPr="000A7FD1">
        <w:rPr>
          <w:rFonts w:ascii="Arial" w:hAnsi="Arial" w:cs="Arial"/>
          <w:sz w:val="22"/>
        </w:rPr>
        <w:t>which the funds are obligated.</w:t>
      </w:r>
    </w:p>
    <w:p w14:paraId="0E961B9B" w14:textId="77777777" w:rsidR="00A04DF5" w:rsidRPr="000A7FD1" w:rsidRDefault="00A04DF5" w:rsidP="00CC7A2D">
      <w:pPr>
        <w:pStyle w:val="FAM-Bullet-2"/>
        <w:numPr>
          <w:ilvl w:val="3"/>
          <w:numId w:val="18"/>
        </w:numPr>
        <w:tabs>
          <w:tab w:val="clear" w:pos="2880"/>
        </w:tabs>
        <w:ind w:left="2520"/>
        <w:rPr>
          <w:rFonts w:ascii="Arial" w:hAnsi="Arial" w:cs="Arial"/>
          <w:sz w:val="22"/>
        </w:rPr>
      </w:pPr>
      <w:r w:rsidRPr="000A7FD1">
        <w:rPr>
          <w:rFonts w:ascii="Arial" w:hAnsi="Arial" w:cs="Arial"/>
          <w:sz w:val="22"/>
        </w:rPr>
        <w:t>The cost of a direct loan is recorded at the net present value, at the time when the loan is disbursed, of estimated cash flows for</w:t>
      </w:r>
    </w:p>
    <w:p w14:paraId="2FADBFDC" w14:textId="77777777" w:rsidR="00D55C7E" w:rsidRPr="000A7FD1" w:rsidRDefault="00A04DF5" w:rsidP="00CE627C">
      <w:pPr>
        <w:pStyle w:val="FAMroman3"/>
        <w:tabs>
          <w:tab w:val="clear" w:pos="3600"/>
        </w:tabs>
        <w:ind w:left="2880" w:hanging="180"/>
      </w:pPr>
      <w:r w:rsidRPr="000A7FD1">
        <w:t>loan disbursements;</w:t>
      </w:r>
    </w:p>
    <w:p w14:paraId="37A61764" w14:textId="77777777" w:rsidR="00D55C7E" w:rsidRPr="000A7FD1" w:rsidRDefault="00A04DF5" w:rsidP="00CE627C">
      <w:pPr>
        <w:pStyle w:val="FAMroman3"/>
        <w:tabs>
          <w:tab w:val="clear" w:pos="3600"/>
        </w:tabs>
        <w:ind w:left="2880" w:hanging="180"/>
      </w:pPr>
      <w:r w:rsidRPr="000A7FD1">
        <w:t xml:space="preserve">principal repayments; </w:t>
      </w:r>
    </w:p>
    <w:p w14:paraId="79DC2134" w14:textId="77777777" w:rsidR="00A04DF5" w:rsidRPr="000A7FD1" w:rsidRDefault="00A04DF5" w:rsidP="00CE627C">
      <w:pPr>
        <w:pStyle w:val="FAMroman3"/>
        <w:tabs>
          <w:tab w:val="clear" w:pos="3600"/>
        </w:tabs>
        <w:ind w:left="2880" w:hanging="180"/>
      </w:pPr>
      <w:r w:rsidRPr="000A7FD1">
        <w:t xml:space="preserve">interest payments; and </w:t>
      </w:r>
    </w:p>
    <w:p w14:paraId="0CF2CBD8" w14:textId="77777777" w:rsidR="00A04DF5" w:rsidRPr="000A7FD1" w:rsidRDefault="00A04DF5" w:rsidP="00CE627C">
      <w:pPr>
        <w:pStyle w:val="FAMroman3"/>
        <w:tabs>
          <w:tab w:val="clear" w:pos="3600"/>
        </w:tabs>
        <w:ind w:left="2880" w:hanging="180"/>
      </w:pPr>
      <w:r w:rsidRPr="000A7FD1">
        <w:t xml:space="preserve">other payments by or to the government over the life of the loan, including fees, penalties, and other recoveries, as well as adjustments for estimated prepayments, delinquencies, and defaults. </w:t>
      </w:r>
    </w:p>
    <w:p w14:paraId="5982CBFF" w14:textId="083234DD" w:rsidR="00A04DF5" w:rsidRPr="000A7FD1" w:rsidRDefault="00A04DF5" w:rsidP="008B6636">
      <w:pPr>
        <w:pStyle w:val="FAMContinuation4"/>
      </w:pPr>
      <w:r w:rsidRPr="000A7FD1">
        <w:t>These estimated cash flows include the effects of the timing and are discounted using the appropriate rate as described below. Administrative costs and any incidental effects on governmental receipts and outlays are not included in the cost of the direct loan (2</w:t>
      </w:r>
      <w:r w:rsidR="00024876" w:rsidRPr="000A7FD1">
        <w:t> </w:t>
      </w:r>
      <w:r w:rsidRPr="000A7FD1">
        <w:t xml:space="preserve">U.S.C. </w:t>
      </w:r>
      <w:r w:rsidR="00261887" w:rsidRPr="000A7FD1">
        <w:t xml:space="preserve">§ </w:t>
      </w:r>
      <w:r w:rsidRPr="000A7FD1">
        <w:t>661a(5)(A)</w:t>
      </w:r>
      <w:r w:rsidR="00261887" w:rsidRPr="000A7FD1">
        <w:t>,</w:t>
      </w:r>
      <w:r w:rsidRPr="000A7FD1">
        <w:t xml:space="preserve"> (B)). </w:t>
      </w:r>
    </w:p>
    <w:p w14:paraId="09D8EE20" w14:textId="77777777" w:rsidR="00A04DF5" w:rsidRPr="000A7FD1" w:rsidRDefault="00A04DF5" w:rsidP="00CC7A2D">
      <w:pPr>
        <w:pStyle w:val="FAM-Bullet-2"/>
        <w:numPr>
          <w:ilvl w:val="3"/>
          <w:numId w:val="18"/>
        </w:numPr>
        <w:tabs>
          <w:tab w:val="clear" w:pos="2880"/>
        </w:tabs>
        <w:ind w:left="2520"/>
        <w:rPr>
          <w:rFonts w:ascii="Arial" w:hAnsi="Arial" w:cs="Arial"/>
          <w:sz w:val="22"/>
        </w:rPr>
      </w:pPr>
      <w:r w:rsidRPr="000A7FD1">
        <w:rPr>
          <w:rFonts w:ascii="Arial" w:hAnsi="Arial" w:cs="Arial"/>
          <w:sz w:val="22"/>
        </w:rPr>
        <w:t>The cost of a loan guarantee is recorded at the net present value, at the time when the related guaranteed loan is disbursed, of the cash flows for</w:t>
      </w:r>
    </w:p>
    <w:p w14:paraId="6233F819" w14:textId="77777777" w:rsidR="00A04DF5" w:rsidRPr="000A7FD1" w:rsidRDefault="00A04DF5" w:rsidP="000D1813">
      <w:pPr>
        <w:pStyle w:val="FAMroman3"/>
        <w:numPr>
          <w:ilvl w:val="2"/>
          <w:numId w:val="37"/>
        </w:numPr>
        <w:tabs>
          <w:tab w:val="clear" w:pos="3600"/>
          <w:tab w:val="num" w:pos="2880"/>
        </w:tabs>
        <w:ind w:left="2880" w:hanging="180"/>
      </w:pPr>
      <w:r w:rsidRPr="000A7FD1">
        <w:t>estimated amounts and timing of payments by the government for defaults, delinquencies, interest subsidies, or other payments, excluding administrative costs, and</w:t>
      </w:r>
    </w:p>
    <w:p w14:paraId="7EC1B2F1" w14:textId="77777777" w:rsidR="00A04DF5" w:rsidRPr="000A7FD1" w:rsidRDefault="00A04DF5" w:rsidP="000D1813">
      <w:pPr>
        <w:pStyle w:val="FAMroman3"/>
        <w:numPr>
          <w:ilvl w:val="2"/>
          <w:numId w:val="37"/>
        </w:numPr>
        <w:tabs>
          <w:tab w:val="clear" w:pos="3600"/>
          <w:tab w:val="num" w:pos="2880"/>
        </w:tabs>
        <w:ind w:left="2880" w:hanging="180"/>
      </w:pPr>
      <w:r w:rsidRPr="000A7FD1">
        <w:t>estimated amounts and timing of payments to the government for origination and other fees, penalties, and recoveries.</w:t>
      </w:r>
    </w:p>
    <w:p w14:paraId="67FABBEA" w14:textId="394E6AE2" w:rsidR="00A04DF5" w:rsidRPr="000A7FD1" w:rsidRDefault="00A04DF5" w:rsidP="008B6636">
      <w:pPr>
        <w:pStyle w:val="FAMContinuation4"/>
      </w:pPr>
      <w:r w:rsidRPr="000A7FD1">
        <w:t xml:space="preserve">These estimated cash flows are discounted using the appropriate rate as described below. Administrative costs and any incidental effects on governmental receipts and outlays are excluded (2 U.S.C. </w:t>
      </w:r>
      <w:r w:rsidR="00261887" w:rsidRPr="000A7FD1">
        <w:t xml:space="preserve">§ </w:t>
      </w:r>
      <w:r w:rsidRPr="000A7FD1">
        <w:lastRenderedPageBreak/>
        <w:t>661a(5)(A)</w:t>
      </w:r>
      <w:r w:rsidR="00261887" w:rsidRPr="000A7FD1">
        <w:t xml:space="preserve">, </w:t>
      </w:r>
      <w:r w:rsidRPr="000A7FD1">
        <w:t>(C)).</w:t>
      </w:r>
      <w:r w:rsidR="001B6914" w:rsidRPr="000A7FD1">
        <w:t xml:space="preserve"> </w:t>
      </w:r>
    </w:p>
    <w:p w14:paraId="1907DD4C" w14:textId="44D98BF9" w:rsidR="00A04DF5" w:rsidRPr="000A7FD1" w:rsidRDefault="00A04DF5" w:rsidP="00CC7A2D">
      <w:pPr>
        <w:pStyle w:val="FAM-Bullet-2"/>
        <w:numPr>
          <w:ilvl w:val="3"/>
          <w:numId w:val="18"/>
        </w:numPr>
        <w:tabs>
          <w:tab w:val="clear" w:pos="2880"/>
        </w:tabs>
        <w:ind w:left="2520"/>
        <w:rPr>
          <w:rFonts w:ascii="Arial" w:hAnsi="Arial" w:cs="Arial"/>
          <w:sz w:val="22"/>
        </w:rPr>
      </w:pPr>
      <w:r w:rsidRPr="000A7FD1">
        <w:rPr>
          <w:rFonts w:ascii="Arial" w:hAnsi="Arial" w:cs="Arial"/>
          <w:sz w:val="22"/>
        </w:rPr>
        <w:t xml:space="preserve">The cost of a modification is recorded at the difference between the current estimated net present value of the remaining cash flows under the existing direct loan or guarantee contract and the estimated net present value of the remaining cash flows under the modified contract. The cash flows for each of these calculations are discounted at the rate for modifications described below (2 U.S.C. </w:t>
      </w:r>
      <w:r w:rsidR="00261887" w:rsidRPr="000A7FD1">
        <w:rPr>
          <w:rFonts w:ascii="Arial" w:hAnsi="Arial" w:cs="Arial"/>
          <w:sz w:val="22"/>
        </w:rPr>
        <w:t xml:space="preserve">§ </w:t>
      </w:r>
      <w:r w:rsidRPr="000A7FD1">
        <w:rPr>
          <w:rFonts w:ascii="Arial" w:hAnsi="Arial" w:cs="Arial"/>
          <w:sz w:val="22"/>
        </w:rPr>
        <w:t>661a(5)(D)).</w:t>
      </w:r>
    </w:p>
    <w:p w14:paraId="5DC1658E" w14:textId="6633519E" w:rsidR="00A04DF5" w:rsidRPr="000A7FD1" w:rsidRDefault="00A04DF5" w:rsidP="00CC7A2D">
      <w:pPr>
        <w:pStyle w:val="FAM-Bullet-2"/>
        <w:numPr>
          <w:ilvl w:val="3"/>
          <w:numId w:val="18"/>
        </w:numPr>
        <w:tabs>
          <w:tab w:val="clear" w:pos="2880"/>
        </w:tabs>
        <w:ind w:left="2520"/>
        <w:rPr>
          <w:rFonts w:ascii="Arial" w:hAnsi="Arial" w:cs="Arial"/>
          <w:sz w:val="22"/>
        </w:rPr>
      </w:pPr>
      <w:r w:rsidRPr="000A7FD1">
        <w:rPr>
          <w:rFonts w:ascii="Arial" w:hAnsi="Arial" w:cs="Arial"/>
          <w:sz w:val="22"/>
        </w:rPr>
        <w:t xml:space="preserve">The discount rate used to estimate the net present values described above is the average interest rate on marketable Treasury securities of similar maturity to the cash flows of the direct loan or loan guarantee for which the estimate is being made (2 U.S.C. </w:t>
      </w:r>
      <w:r w:rsidR="00261887" w:rsidRPr="000A7FD1">
        <w:rPr>
          <w:rFonts w:ascii="Arial" w:hAnsi="Arial" w:cs="Arial"/>
          <w:sz w:val="22"/>
        </w:rPr>
        <w:t xml:space="preserve">§ </w:t>
      </w:r>
      <w:r w:rsidRPr="000A7FD1">
        <w:rPr>
          <w:rFonts w:ascii="Arial" w:hAnsi="Arial" w:cs="Arial"/>
          <w:sz w:val="22"/>
        </w:rPr>
        <w:t>661a(5)(E)).</w:t>
      </w:r>
    </w:p>
    <w:p w14:paraId="5F61D439" w14:textId="7D0EA94C" w:rsidR="00A04DF5" w:rsidRPr="000A7FD1" w:rsidRDefault="00A04DF5" w:rsidP="00CC7A2D">
      <w:pPr>
        <w:pStyle w:val="FAM-Bullet-2"/>
        <w:numPr>
          <w:ilvl w:val="0"/>
          <w:numId w:val="22"/>
        </w:numPr>
        <w:rPr>
          <w:rFonts w:ascii="Arial" w:hAnsi="Arial" w:cs="Arial"/>
          <w:sz w:val="22"/>
        </w:rPr>
      </w:pPr>
      <w:r w:rsidRPr="000A7FD1">
        <w:rPr>
          <w:rFonts w:ascii="Arial" w:hAnsi="Arial" w:cs="Arial"/>
          <w:b/>
          <w:sz w:val="22"/>
        </w:rPr>
        <w:t>Expended authority transactions</w:t>
      </w:r>
      <w:r w:rsidR="00825196" w:rsidRPr="000A7FD1">
        <w:rPr>
          <w:rFonts w:ascii="Arial" w:hAnsi="Arial" w:cs="Arial"/>
          <w:b/>
          <w:sz w:val="22"/>
        </w:rPr>
        <w:t>.</w:t>
      </w:r>
      <w:r w:rsidRPr="000A7FD1">
        <w:rPr>
          <w:rFonts w:ascii="Arial" w:hAnsi="Arial" w:cs="Arial"/>
          <w:sz w:val="22"/>
        </w:rPr>
        <w:t xml:space="preserve"> Expended authority transactions include transactions that occur when loans are disbursed. Supplemental control objectives relating to expended authority transactions under FCRA are</w:t>
      </w:r>
      <w:r w:rsidR="002E3C5A" w:rsidRPr="000A7FD1">
        <w:rPr>
          <w:rFonts w:ascii="Arial" w:hAnsi="Arial" w:cs="Arial"/>
          <w:sz w:val="22"/>
        </w:rPr>
        <w:t xml:space="preserve"> as follows</w:t>
      </w:r>
      <w:r w:rsidRPr="000A7FD1">
        <w:rPr>
          <w:rFonts w:ascii="Arial" w:hAnsi="Arial" w:cs="Arial"/>
          <w:sz w:val="22"/>
        </w:rPr>
        <w:t>:</w:t>
      </w:r>
    </w:p>
    <w:p w14:paraId="47176E2A" w14:textId="3681C30B" w:rsidR="00A04DF5" w:rsidRPr="000A7FD1" w:rsidRDefault="00A04DF5" w:rsidP="006B46F1">
      <w:pPr>
        <w:pStyle w:val="FAM-Bullet-2"/>
        <w:numPr>
          <w:ilvl w:val="0"/>
          <w:numId w:val="8"/>
        </w:numPr>
        <w:rPr>
          <w:rFonts w:ascii="Arial" w:hAnsi="Arial" w:cs="Arial"/>
          <w:sz w:val="22"/>
        </w:rPr>
      </w:pPr>
      <w:r w:rsidRPr="000A7FD1">
        <w:rPr>
          <w:rFonts w:ascii="Arial" w:hAnsi="Arial" w:cs="Arial"/>
          <w:b/>
          <w:sz w:val="22"/>
        </w:rPr>
        <w:t>Valuation</w:t>
      </w:r>
      <w:r w:rsidR="00825196" w:rsidRPr="000A7FD1">
        <w:rPr>
          <w:rFonts w:ascii="Arial" w:hAnsi="Arial" w:cs="Arial"/>
          <w:b/>
          <w:sz w:val="22"/>
        </w:rPr>
        <w:t>.</w:t>
      </w:r>
      <w:r w:rsidRPr="000A7FD1">
        <w:rPr>
          <w:rFonts w:ascii="Arial" w:hAnsi="Arial" w:cs="Arial"/>
          <w:b/>
          <w:sz w:val="22"/>
        </w:rPr>
        <w:t xml:space="preserve"> </w:t>
      </w:r>
      <w:r w:rsidRPr="000A7FD1">
        <w:rPr>
          <w:rFonts w:ascii="Arial" w:hAnsi="Arial" w:cs="Arial"/>
          <w:sz w:val="22"/>
        </w:rPr>
        <w:t>Expended authority transactions are recorded at the proper amount. The same specific criteria for the amounts of FCRA obligations are also applicable to expended authority transactions.</w:t>
      </w:r>
    </w:p>
    <w:p w14:paraId="68EA2AD4" w14:textId="2B04AE59" w:rsidR="00A04DF5" w:rsidRPr="000A7FD1" w:rsidRDefault="00A04DF5" w:rsidP="006B46F1">
      <w:pPr>
        <w:pStyle w:val="FAM-Bullet-2"/>
        <w:numPr>
          <w:ilvl w:val="0"/>
          <w:numId w:val="8"/>
        </w:numPr>
        <w:rPr>
          <w:rFonts w:ascii="Arial" w:hAnsi="Arial" w:cs="Arial"/>
          <w:sz w:val="22"/>
        </w:rPr>
      </w:pPr>
      <w:r w:rsidRPr="000A7FD1">
        <w:rPr>
          <w:rFonts w:ascii="Arial" w:hAnsi="Arial" w:cs="Arial"/>
          <w:b/>
          <w:sz w:val="22"/>
        </w:rPr>
        <w:t>Cutoff</w:t>
      </w:r>
      <w:r w:rsidR="00825196" w:rsidRPr="000A7FD1">
        <w:rPr>
          <w:rFonts w:ascii="Arial" w:hAnsi="Arial" w:cs="Arial"/>
          <w:b/>
          <w:sz w:val="22"/>
        </w:rPr>
        <w:t>.</w:t>
      </w:r>
      <w:r w:rsidRPr="000A7FD1">
        <w:rPr>
          <w:rFonts w:ascii="Arial" w:hAnsi="Arial" w:cs="Arial"/>
          <w:b/>
          <w:sz w:val="22"/>
        </w:rPr>
        <w:t xml:space="preserve"> </w:t>
      </w:r>
      <w:r w:rsidRPr="000A7FD1">
        <w:rPr>
          <w:rFonts w:ascii="Arial" w:hAnsi="Arial" w:cs="Arial"/>
          <w:sz w:val="22"/>
        </w:rPr>
        <w:t xml:space="preserve">Expended authority transactions are recorded in the proper period. Expended authority transactions for the cost of loans or guarantees are recorded in the fiscal year in which the direct or guaranteed loan is disbursed or when a modification occurs (2 U.S.C. </w:t>
      </w:r>
      <w:r w:rsidR="00261887" w:rsidRPr="000A7FD1">
        <w:rPr>
          <w:rFonts w:ascii="Arial" w:hAnsi="Arial" w:cs="Arial"/>
          <w:sz w:val="22"/>
        </w:rPr>
        <w:t xml:space="preserve">§ </w:t>
      </w:r>
      <w:r w:rsidRPr="000A7FD1">
        <w:rPr>
          <w:rFonts w:ascii="Arial" w:hAnsi="Arial" w:cs="Arial"/>
          <w:sz w:val="22"/>
        </w:rPr>
        <w:t>661c(d)(2)).</w:t>
      </w:r>
    </w:p>
    <w:p w14:paraId="7A7A0498" w14:textId="6DA15BD4" w:rsidR="00A04DF5" w:rsidRPr="000A7FD1" w:rsidRDefault="00A04DF5" w:rsidP="006B46F1">
      <w:pPr>
        <w:pStyle w:val="FAM-Bullet-2"/>
        <w:numPr>
          <w:ilvl w:val="0"/>
          <w:numId w:val="8"/>
        </w:numPr>
        <w:rPr>
          <w:rFonts w:ascii="Arial" w:hAnsi="Arial" w:cs="Arial"/>
          <w:sz w:val="22"/>
        </w:rPr>
      </w:pPr>
      <w:r w:rsidRPr="000A7FD1">
        <w:rPr>
          <w:rFonts w:ascii="Arial" w:hAnsi="Arial" w:cs="Arial"/>
          <w:b/>
          <w:sz w:val="22"/>
        </w:rPr>
        <w:t>Classification/presentation and disclosure</w:t>
      </w:r>
      <w:r w:rsidR="00825196" w:rsidRPr="000A7FD1">
        <w:rPr>
          <w:rFonts w:ascii="Arial" w:hAnsi="Arial" w:cs="Arial"/>
          <w:b/>
          <w:sz w:val="22"/>
        </w:rPr>
        <w:t>.</w:t>
      </w:r>
      <w:r w:rsidRPr="000A7FD1">
        <w:rPr>
          <w:rFonts w:ascii="Arial" w:hAnsi="Arial" w:cs="Arial"/>
          <w:b/>
          <w:sz w:val="22"/>
        </w:rPr>
        <w:t xml:space="preserve"> </w:t>
      </w:r>
      <w:r w:rsidRPr="000A7FD1">
        <w:rPr>
          <w:rFonts w:ascii="Arial" w:hAnsi="Arial" w:cs="Arial"/>
          <w:sz w:val="22"/>
        </w:rPr>
        <w:t>Amounts are recorded in the proper account and reported appropriately for:</w:t>
      </w:r>
    </w:p>
    <w:p w14:paraId="360F258B" w14:textId="3C8511DA" w:rsidR="00A04DF5" w:rsidRPr="000A7FD1" w:rsidRDefault="00A04DF5" w:rsidP="00AA179A">
      <w:pPr>
        <w:pStyle w:val="Style2FAMBullet2B"/>
      </w:pPr>
      <w:r w:rsidRPr="000A7FD1">
        <w:t xml:space="preserve">Differences in subsequent years between original estimated costs and </w:t>
      </w:r>
      <w:proofErr w:type="spellStart"/>
      <w:r w:rsidRPr="000A7FD1">
        <w:t>reestimated</w:t>
      </w:r>
      <w:proofErr w:type="spellEnd"/>
      <w:r w:rsidRPr="000A7FD1">
        <w:t xml:space="preserve"> costs are recorded in a separately identified subaccount in the credit program account and shown as a change in program costs and a change in net interest (2 U.S.C. </w:t>
      </w:r>
      <w:r w:rsidR="00261887" w:rsidRPr="000A7FD1">
        <w:t xml:space="preserve">§ </w:t>
      </w:r>
      <w:r w:rsidRPr="000A7FD1">
        <w:t>661c(f)).</w:t>
      </w:r>
    </w:p>
    <w:p w14:paraId="7E2015BE" w14:textId="660A5293" w:rsidR="00A04DF5" w:rsidRPr="000A7FD1" w:rsidRDefault="00A04DF5" w:rsidP="00AA179A">
      <w:pPr>
        <w:pStyle w:val="Style2FAMBullet2B"/>
      </w:pPr>
      <w:r w:rsidRPr="000A7FD1">
        <w:t xml:space="preserve">Funding for the administrative costs of a direct loan or loan guarantee program is recorded in separately identified subaccounts within the same budget account as the program’s cost (2 U.S.C. </w:t>
      </w:r>
      <w:r w:rsidR="00261887" w:rsidRPr="000A7FD1">
        <w:t xml:space="preserve">§ </w:t>
      </w:r>
      <w:r w:rsidRPr="000A7FD1">
        <w:t>661c(g)).</w:t>
      </w:r>
    </w:p>
    <w:p w14:paraId="2FEF0878" w14:textId="2391832A" w:rsidR="00A04DF5" w:rsidRPr="000A7FD1" w:rsidRDefault="00A04DF5" w:rsidP="00AA179A">
      <w:pPr>
        <w:pStyle w:val="Style2FAMBullet2B"/>
      </w:pPr>
      <w:r w:rsidRPr="000A7FD1">
        <w:t xml:space="preserve">Cash disbursements for direct loan obligations or loan guarantee commitments made on or after October 1, 1991, are made out of the financing account (2 U.S.C. </w:t>
      </w:r>
      <w:r w:rsidR="00261887" w:rsidRPr="000A7FD1">
        <w:t xml:space="preserve">§ </w:t>
      </w:r>
      <w:r w:rsidRPr="000A7FD1">
        <w:t>661a(7)).</w:t>
      </w:r>
    </w:p>
    <w:p w14:paraId="0024B38C" w14:textId="624CC980" w:rsidR="00A04DF5" w:rsidRPr="000A7FD1" w:rsidRDefault="00A04DF5" w:rsidP="00CC7A2D">
      <w:pPr>
        <w:pStyle w:val="FAM-Bullet-2"/>
        <w:numPr>
          <w:ilvl w:val="0"/>
          <w:numId w:val="22"/>
        </w:numPr>
        <w:rPr>
          <w:rFonts w:ascii="Arial" w:hAnsi="Arial" w:cs="Arial"/>
          <w:sz w:val="22"/>
        </w:rPr>
      </w:pPr>
      <w:r w:rsidRPr="000A7FD1">
        <w:rPr>
          <w:rFonts w:ascii="Arial" w:hAnsi="Arial" w:cs="Arial"/>
          <w:b/>
          <w:sz w:val="22"/>
        </w:rPr>
        <w:t>Obligation and expended authority balances</w:t>
      </w:r>
      <w:r w:rsidR="00825196" w:rsidRPr="000A7FD1">
        <w:rPr>
          <w:rFonts w:ascii="Arial" w:hAnsi="Arial" w:cs="Arial"/>
          <w:b/>
          <w:sz w:val="22"/>
        </w:rPr>
        <w:t>.</w:t>
      </w:r>
      <w:r w:rsidRPr="000A7FD1">
        <w:rPr>
          <w:rFonts w:ascii="Arial" w:hAnsi="Arial" w:cs="Arial"/>
          <w:sz w:val="22"/>
        </w:rPr>
        <w:t xml:space="preserve"> </w:t>
      </w:r>
      <w:r w:rsidR="002646EF" w:rsidRPr="000A7FD1">
        <w:rPr>
          <w:rFonts w:ascii="Arial" w:hAnsi="Arial" w:cs="Arial"/>
          <w:sz w:val="22"/>
        </w:rPr>
        <w:t xml:space="preserve">The supplemental </w:t>
      </w:r>
      <w:r w:rsidRPr="000A7FD1">
        <w:rPr>
          <w:rFonts w:ascii="Arial" w:hAnsi="Arial" w:cs="Arial"/>
          <w:sz w:val="22"/>
        </w:rPr>
        <w:t xml:space="preserve">control objective relating to obligation and expended authority balances under FCRA as of a point in time </w:t>
      </w:r>
      <w:r w:rsidR="002646EF" w:rsidRPr="000A7FD1">
        <w:rPr>
          <w:rFonts w:ascii="Arial" w:hAnsi="Arial" w:cs="Arial"/>
          <w:sz w:val="22"/>
        </w:rPr>
        <w:t>is</w:t>
      </w:r>
      <w:r w:rsidR="00A90B7B" w:rsidRPr="000A7FD1">
        <w:rPr>
          <w:rFonts w:ascii="Arial" w:hAnsi="Arial" w:cs="Arial"/>
          <w:sz w:val="22"/>
        </w:rPr>
        <w:t xml:space="preserve"> as follows</w:t>
      </w:r>
      <w:r w:rsidRPr="000A7FD1">
        <w:rPr>
          <w:rFonts w:ascii="Arial" w:hAnsi="Arial" w:cs="Arial"/>
          <w:sz w:val="22"/>
        </w:rPr>
        <w:t>:</w:t>
      </w:r>
    </w:p>
    <w:p w14:paraId="1B08AE12" w14:textId="36DB2C83" w:rsidR="00A04DF5" w:rsidRPr="000A7FD1" w:rsidRDefault="00A04DF5" w:rsidP="006B46F1">
      <w:pPr>
        <w:pStyle w:val="FAM-Bullet-2"/>
        <w:numPr>
          <w:ilvl w:val="0"/>
          <w:numId w:val="8"/>
        </w:numPr>
        <w:rPr>
          <w:rFonts w:ascii="Arial" w:hAnsi="Arial" w:cs="Arial"/>
          <w:sz w:val="22"/>
        </w:rPr>
      </w:pPr>
      <w:r w:rsidRPr="000A7FD1">
        <w:rPr>
          <w:rFonts w:ascii="Arial" w:hAnsi="Arial" w:cs="Arial"/>
          <w:b/>
          <w:sz w:val="22"/>
        </w:rPr>
        <w:t>Limitation</w:t>
      </w:r>
      <w:r w:rsidR="00825196" w:rsidRPr="000A7FD1">
        <w:rPr>
          <w:rFonts w:ascii="Arial" w:hAnsi="Arial" w:cs="Arial"/>
          <w:b/>
          <w:sz w:val="22"/>
        </w:rPr>
        <w:t>.</w:t>
      </w:r>
      <w:r w:rsidRPr="000A7FD1">
        <w:rPr>
          <w:rFonts w:ascii="Arial" w:hAnsi="Arial" w:cs="Arial"/>
          <w:sz w:val="22"/>
        </w:rPr>
        <w:t xml:space="preserve"> Total obligations and total expended authority transactions do not exceed the appropriation amount or other statutory limitations that may exist by appropriation period. Specifically</w:t>
      </w:r>
      <w:r w:rsidR="002646EF" w:rsidRPr="000A7FD1">
        <w:rPr>
          <w:rFonts w:ascii="Arial" w:hAnsi="Arial" w:cs="Arial"/>
          <w:sz w:val="22"/>
        </w:rPr>
        <w:t>, see the following</w:t>
      </w:r>
      <w:r w:rsidRPr="000A7FD1">
        <w:rPr>
          <w:rFonts w:ascii="Arial" w:hAnsi="Arial" w:cs="Arial"/>
          <w:sz w:val="22"/>
        </w:rPr>
        <w:t>:</w:t>
      </w:r>
    </w:p>
    <w:p w14:paraId="370AA276" w14:textId="77777777" w:rsidR="00A04DF5" w:rsidRPr="000A7FD1" w:rsidRDefault="00A04DF5" w:rsidP="00AA179A">
      <w:pPr>
        <w:pStyle w:val="Style2FAMBullet2B"/>
      </w:pPr>
      <w:r w:rsidRPr="000A7FD1">
        <w:t>Direct loan obligations made on or after October 1, 1991, do not exceed the available appropriation or other budget authority.</w:t>
      </w:r>
    </w:p>
    <w:p w14:paraId="2E075A64" w14:textId="77777777" w:rsidR="00A04DF5" w:rsidRPr="000A7FD1" w:rsidRDefault="00A04DF5" w:rsidP="00AA179A">
      <w:pPr>
        <w:pStyle w:val="Style2FAMBullet2B"/>
      </w:pPr>
      <w:r w:rsidRPr="000A7FD1">
        <w:lastRenderedPageBreak/>
        <w:t xml:space="preserve">Modifications made to direct loan obligations or direct loans do not exceed the available appropriation or other budget authority. </w:t>
      </w:r>
      <w:r w:rsidR="00BE022F" w:rsidRPr="000A7FD1">
        <w:t>(</w:t>
      </w:r>
      <w:r w:rsidRPr="000A7FD1">
        <w:t>Note: Prior to performing any control or compliance tests, the auditor should discuss with OGC the applicability of this budget restriction to direct loans and direct loan obligations that were outstanding prior to October 1, 1991.</w:t>
      </w:r>
      <w:r w:rsidR="00BE022F" w:rsidRPr="000A7FD1">
        <w:t>)</w:t>
      </w:r>
      <w:r w:rsidRPr="000A7FD1">
        <w:t xml:space="preserve"> </w:t>
      </w:r>
    </w:p>
    <w:p w14:paraId="6B2379C7" w14:textId="77777777" w:rsidR="00A04DF5" w:rsidRPr="000A7FD1" w:rsidRDefault="00A04DF5" w:rsidP="00AA179A">
      <w:pPr>
        <w:pStyle w:val="Style2FAMBullet2B"/>
      </w:pPr>
      <w:r w:rsidRPr="000A7FD1">
        <w:t xml:space="preserve">Obligations for new loan guarantee commitments made on or after October 1, 1991, do not exceed the available appropriation or other budget authority. </w:t>
      </w:r>
    </w:p>
    <w:p w14:paraId="4B03C420" w14:textId="77777777" w:rsidR="00A04DF5" w:rsidRPr="000A7FD1" w:rsidRDefault="00A04DF5" w:rsidP="00AA179A">
      <w:pPr>
        <w:pStyle w:val="Style2FAMBullet2B"/>
      </w:pPr>
      <w:r w:rsidRPr="000A7FD1">
        <w:t xml:space="preserve">Modifications made to loan guarantee commitments or outstanding loan guarantees do not exceed the available appropriation or other budget authority. </w:t>
      </w:r>
      <w:r w:rsidR="00BE022F" w:rsidRPr="000A7FD1">
        <w:t>(</w:t>
      </w:r>
      <w:r w:rsidRPr="000A7FD1">
        <w:t>Note: Prior to performing any control or compliance tests, the auditor should discuss with OGC the applicability of this budget restriction to loan guarantees or loan guarantee commitments that existed prior to October 1, 1991.</w:t>
      </w:r>
      <w:r w:rsidR="00BE022F" w:rsidRPr="000A7FD1">
        <w:t>)</w:t>
      </w:r>
    </w:p>
    <w:p w14:paraId="6A87CAC7" w14:textId="11475E7B" w:rsidR="00A04DF5" w:rsidRPr="000A7FD1" w:rsidRDefault="00A04DF5" w:rsidP="00CC7A2D">
      <w:pPr>
        <w:pStyle w:val="FAM-Bullet-2"/>
        <w:numPr>
          <w:ilvl w:val="0"/>
          <w:numId w:val="22"/>
        </w:numPr>
        <w:rPr>
          <w:rFonts w:ascii="Arial" w:hAnsi="Arial" w:cs="Arial"/>
          <w:sz w:val="22"/>
        </w:rPr>
      </w:pPr>
      <w:r w:rsidRPr="000A7FD1">
        <w:rPr>
          <w:rFonts w:ascii="Arial" w:hAnsi="Arial" w:cs="Arial"/>
          <w:b/>
          <w:sz w:val="22"/>
        </w:rPr>
        <w:t>Cash receipts</w:t>
      </w:r>
      <w:r w:rsidR="00825196" w:rsidRPr="000A7FD1">
        <w:rPr>
          <w:rFonts w:ascii="Arial" w:hAnsi="Arial" w:cs="Arial"/>
          <w:b/>
          <w:sz w:val="22"/>
        </w:rPr>
        <w:t>.</w:t>
      </w:r>
      <w:r w:rsidRPr="000A7FD1">
        <w:rPr>
          <w:rFonts w:ascii="Arial" w:hAnsi="Arial" w:cs="Arial"/>
          <w:sz w:val="22"/>
        </w:rPr>
        <w:t xml:space="preserve"> </w:t>
      </w:r>
      <w:r w:rsidR="002646EF" w:rsidRPr="000A7FD1">
        <w:rPr>
          <w:rFonts w:ascii="Arial" w:hAnsi="Arial" w:cs="Arial"/>
          <w:sz w:val="22"/>
        </w:rPr>
        <w:t xml:space="preserve">The control </w:t>
      </w:r>
      <w:r w:rsidRPr="000A7FD1">
        <w:rPr>
          <w:rFonts w:ascii="Arial" w:hAnsi="Arial" w:cs="Arial"/>
          <w:sz w:val="22"/>
        </w:rPr>
        <w:t xml:space="preserve">objective for cash receipts under FCRA </w:t>
      </w:r>
      <w:r w:rsidR="002646EF" w:rsidRPr="000A7FD1">
        <w:rPr>
          <w:rFonts w:ascii="Arial" w:hAnsi="Arial" w:cs="Arial"/>
          <w:sz w:val="22"/>
        </w:rPr>
        <w:t>is as follows</w:t>
      </w:r>
      <w:r w:rsidRPr="000A7FD1">
        <w:rPr>
          <w:rFonts w:ascii="Arial" w:hAnsi="Arial" w:cs="Arial"/>
          <w:sz w:val="22"/>
        </w:rPr>
        <w:t>:</w:t>
      </w:r>
    </w:p>
    <w:p w14:paraId="767B153F" w14:textId="7A0053B2" w:rsidR="00A04DF5" w:rsidRPr="000A7FD1" w:rsidRDefault="00A04DF5" w:rsidP="006B46F1">
      <w:pPr>
        <w:pStyle w:val="FAM-Bullet-2"/>
        <w:numPr>
          <w:ilvl w:val="0"/>
          <w:numId w:val="8"/>
        </w:numPr>
        <w:rPr>
          <w:rFonts w:ascii="Arial" w:hAnsi="Arial" w:cs="Arial"/>
          <w:sz w:val="22"/>
        </w:rPr>
      </w:pPr>
      <w:r w:rsidRPr="000A7FD1">
        <w:rPr>
          <w:rFonts w:ascii="Arial" w:hAnsi="Arial" w:cs="Arial"/>
          <w:b/>
          <w:sz w:val="22"/>
        </w:rPr>
        <w:t>Classification</w:t>
      </w:r>
      <w:r w:rsidR="00825196" w:rsidRPr="000A7FD1">
        <w:rPr>
          <w:rFonts w:ascii="Arial" w:hAnsi="Arial" w:cs="Arial"/>
          <w:b/>
          <w:sz w:val="22"/>
        </w:rPr>
        <w:t>.</w:t>
      </w:r>
      <w:r w:rsidRPr="000A7FD1">
        <w:rPr>
          <w:rFonts w:ascii="Arial" w:hAnsi="Arial" w:cs="Arial"/>
          <w:sz w:val="22"/>
        </w:rPr>
        <w:t xml:space="preserve"> Cash receipts are recorded in the proper account for:</w:t>
      </w:r>
    </w:p>
    <w:p w14:paraId="6AEB13BC" w14:textId="01E2A252" w:rsidR="00A04DF5" w:rsidRPr="000A7FD1" w:rsidRDefault="00A04DF5" w:rsidP="00AA179A">
      <w:pPr>
        <w:pStyle w:val="Style2FAMBullet2B"/>
      </w:pPr>
      <w:r w:rsidRPr="000A7FD1">
        <w:t xml:space="preserve">Cash receipts related to direct loans obligated or loan guarantees committed prior to October 1, 1991, are recorded in the liquidating accounts (2 U.S.C. </w:t>
      </w:r>
      <w:r w:rsidR="00261887" w:rsidRPr="000A7FD1">
        <w:t xml:space="preserve">§ </w:t>
      </w:r>
      <w:r w:rsidRPr="000A7FD1">
        <w:t>661f(b)).</w:t>
      </w:r>
    </w:p>
    <w:p w14:paraId="57610B42" w14:textId="32461A02" w:rsidR="00A04DF5" w:rsidRPr="000A7FD1" w:rsidRDefault="00A04DF5" w:rsidP="00AA179A">
      <w:pPr>
        <w:pStyle w:val="Style2FAMBullet2B"/>
      </w:pPr>
      <w:r w:rsidRPr="000A7FD1">
        <w:t xml:space="preserve">Cash receipts related to direct loan obligated or loan guarantees committed on or after October 1, 1991, are recorded in the financing account (2 U.S.C. </w:t>
      </w:r>
      <w:r w:rsidR="00261887" w:rsidRPr="000A7FD1">
        <w:t xml:space="preserve">§ </w:t>
      </w:r>
      <w:r w:rsidRPr="000A7FD1">
        <w:t>661a(7)).</w:t>
      </w:r>
    </w:p>
    <w:p w14:paraId="40F9B579" w14:textId="4DC5884D" w:rsidR="00A04DF5" w:rsidRPr="000A7FD1" w:rsidRDefault="00A04DF5" w:rsidP="004A102E">
      <w:pPr>
        <w:pStyle w:val="FAMSubsection"/>
      </w:pPr>
      <w:r w:rsidRPr="000A7FD1">
        <w:t>Definitions used in FCRA are</w:t>
      </w:r>
      <w:r w:rsidR="00A90B7B" w:rsidRPr="000A7FD1">
        <w:t xml:space="preserve"> as follows</w:t>
      </w:r>
      <w:r w:rsidRPr="000A7FD1">
        <w:t>:</w:t>
      </w:r>
    </w:p>
    <w:p w14:paraId="46B3BC45" w14:textId="72B1077B" w:rsidR="00A04DF5" w:rsidRPr="000A7FD1" w:rsidRDefault="00A04DF5" w:rsidP="000D1813">
      <w:pPr>
        <w:pStyle w:val="FAM-Bullet-2"/>
        <w:numPr>
          <w:ilvl w:val="0"/>
          <w:numId w:val="38"/>
        </w:numPr>
        <w:ind w:left="1800"/>
        <w:rPr>
          <w:rFonts w:ascii="Arial" w:hAnsi="Arial" w:cs="Arial"/>
          <w:sz w:val="22"/>
        </w:rPr>
      </w:pPr>
      <w:r w:rsidRPr="000A7FD1">
        <w:rPr>
          <w:rFonts w:ascii="Arial" w:hAnsi="Arial" w:cs="Arial"/>
          <w:b/>
          <w:sz w:val="22"/>
        </w:rPr>
        <w:t>Direct loans</w:t>
      </w:r>
      <w:r w:rsidRPr="000A7FD1">
        <w:rPr>
          <w:rFonts w:ascii="Arial" w:hAnsi="Arial" w:cs="Arial"/>
          <w:sz w:val="22"/>
        </w:rPr>
        <w:t xml:space="preserve"> are disbursement</w:t>
      </w:r>
      <w:r w:rsidR="00841B31" w:rsidRPr="000A7FD1">
        <w:rPr>
          <w:rFonts w:ascii="Arial" w:hAnsi="Arial" w:cs="Arial"/>
          <w:sz w:val="22"/>
        </w:rPr>
        <w:t>s</w:t>
      </w:r>
      <w:r w:rsidRPr="000A7FD1">
        <w:rPr>
          <w:rFonts w:ascii="Arial" w:hAnsi="Arial" w:cs="Arial"/>
          <w:sz w:val="22"/>
        </w:rPr>
        <w:t xml:space="preserve"> of funds by the government to nonfederal borrower</w:t>
      </w:r>
      <w:r w:rsidR="00841B31" w:rsidRPr="000A7FD1">
        <w:rPr>
          <w:rFonts w:ascii="Arial" w:hAnsi="Arial" w:cs="Arial"/>
          <w:sz w:val="22"/>
        </w:rPr>
        <w:t>s</w:t>
      </w:r>
      <w:r w:rsidRPr="000A7FD1">
        <w:rPr>
          <w:rFonts w:ascii="Arial" w:hAnsi="Arial" w:cs="Arial"/>
          <w:sz w:val="22"/>
        </w:rPr>
        <w:t xml:space="preserve"> under contract</w:t>
      </w:r>
      <w:r w:rsidR="00841B31" w:rsidRPr="000A7FD1">
        <w:rPr>
          <w:rFonts w:ascii="Arial" w:hAnsi="Arial" w:cs="Arial"/>
          <w:sz w:val="22"/>
        </w:rPr>
        <w:t>s</w:t>
      </w:r>
      <w:r w:rsidRPr="000A7FD1">
        <w:rPr>
          <w:rFonts w:ascii="Arial" w:hAnsi="Arial" w:cs="Arial"/>
          <w:sz w:val="22"/>
        </w:rPr>
        <w:t xml:space="preserve"> that require the repayment of such funds with or without interest. Direct loans also include the purchase of, or participation in, loan</w:t>
      </w:r>
      <w:r w:rsidR="00841B31" w:rsidRPr="000A7FD1">
        <w:rPr>
          <w:rFonts w:ascii="Arial" w:hAnsi="Arial" w:cs="Arial"/>
          <w:sz w:val="22"/>
        </w:rPr>
        <w:t>s</w:t>
      </w:r>
      <w:r w:rsidRPr="000A7FD1">
        <w:rPr>
          <w:rFonts w:ascii="Arial" w:hAnsi="Arial" w:cs="Arial"/>
          <w:sz w:val="22"/>
        </w:rPr>
        <w:t xml:space="preserve"> made by other lender</w:t>
      </w:r>
      <w:r w:rsidR="00841B31" w:rsidRPr="000A7FD1">
        <w:rPr>
          <w:rFonts w:ascii="Arial" w:hAnsi="Arial" w:cs="Arial"/>
          <w:sz w:val="22"/>
        </w:rPr>
        <w:t>s</w:t>
      </w:r>
      <w:r w:rsidRPr="000A7FD1">
        <w:rPr>
          <w:rFonts w:ascii="Arial" w:hAnsi="Arial" w:cs="Arial"/>
          <w:sz w:val="22"/>
        </w:rPr>
        <w:t>. Direct loans do not include the acquisition of federally guaranteed loan</w:t>
      </w:r>
      <w:r w:rsidR="00841B31" w:rsidRPr="000A7FD1">
        <w:rPr>
          <w:rFonts w:ascii="Arial" w:hAnsi="Arial" w:cs="Arial"/>
          <w:sz w:val="22"/>
        </w:rPr>
        <w:t>s</w:t>
      </w:r>
      <w:r w:rsidRPr="000A7FD1">
        <w:rPr>
          <w:rFonts w:ascii="Arial" w:hAnsi="Arial" w:cs="Arial"/>
          <w:sz w:val="22"/>
        </w:rPr>
        <w:t xml:space="preserve"> in satisfaction of default claims or the price support loans of the Commodity Credit Corporation (2 U.S.C. </w:t>
      </w:r>
      <w:r w:rsidR="00261887" w:rsidRPr="000A7FD1">
        <w:rPr>
          <w:rFonts w:ascii="Arial" w:hAnsi="Arial" w:cs="Arial"/>
          <w:sz w:val="22"/>
        </w:rPr>
        <w:t xml:space="preserve">§ </w:t>
      </w:r>
      <w:r w:rsidRPr="000A7FD1">
        <w:rPr>
          <w:rFonts w:ascii="Arial" w:hAnsi="Arial" w:cs="Arial"/>
          <w:sz w:val="22"/>
        </w:rPr>
        <w:t>661a(1)).</w:t>
      </w:r>
    </w:p>
    <w:p w14:paraId="784A90AF" w14:textId="73DC9395" w:rsidR="00A04DF5" w:rsidRPr="000A7FD1" w:rsidRDefault="00A04DF5" w:rsidP="000D1813">
      <w:pPr>
        <w:pStyle w:val="FAM-Bullet-2"/>
        <w:numPr>
          <w:ilvl w:val="0"/>
          <w:numId w:val="38"/>
        </w:numPr>
        <w:ind w:left="1800"/>
        <w:rPr>
          <w:rFonts w:ascii="Arial" w:hAnsi="Arial" w:cs="Arial"/>
          <w:sz w:val="22"/>
        </w:rPr>
      </w:pPr>
      <w:r w:rsidRPr="000A7FD1">
        <w:rPr>
          <w:rFonts w:ascii="Arial" w:hAnsi="Arial" w:cs="Arial"/>
          <w:b/>
          <w:sz w:val="22"/>
        </w:rPr>
        <w:t>Direct loan obligations</w:t>
      </w:r>
      <w:r w:rsidRPr="000A7FD1">
        <w:rPr>
          <w:rFonts w:ascii="Arial" w:hAnsi="Arial" w:cs="Arial"/>
          <w:sz w:val="22"/>
        </w:rPr>
        <w:t xml:space="preserve"> are binding agreements by a federal agency to make direct loan</w:t>
      </w:r>
      <w:r w:rsidR="00841B31" w:rsidRPr="000A7FD1">
        <w:rPr>
          <w:rFonts w:ascii="Arial" w:hAnsi="Arial" w:cs="Arial"/>
          <w:sz w:val="22"/>
        </w:rPr>
        <w:t>s</w:t>
      </w:r>
      <w:r w:rsidRPr="000A7FD1">
        <w:rPr>
          <w:rFonts w:ascii="Arial" w:hAnsi="Arial" w:cs="Arial"/>
          <w:sz w:val="22"/>
        </w:rPr>
        <w:t xml:space="preserve"> when specified conditions are fulfilled by the borrower</w:t>
      </w:r>
      <w:r w:rsidR="00841B31" w:rsidRPr="000A7FD1">
        <w:rPr>
          <w:rFonts w:ascii="Arial" w:hAnsi="Arial" w:cs="Arial"/>
          <w:sz w:val="22"/>
        </w:rPr>
        <w:t>s</w:t>
      </w:r>
      <w:r w:rsidRPr="000A7FD1">
        <w:rPr>
          <w:rFonts w:ascii="Arial" w:hAnsi="Arial" w:cs="Arial"/>
          <w:sz w:val="22"/>
        </w:rPr>
        <w:t xml:space="preserve"> (2</w:t>
      </w:r>
      <w:r w:rsidR="00024876" w:rsidRPr="000A7FD1">
        <w:rPr>
          <w:rFonts w:ascii="Arial" w:hAnsi="Arial" w:cs="Arial"/>
          <w:sz w:val="22"/>
        </w:rPr>
        <w:t> </w:t>
      </w:r>
      <w:r w:rsidRPr="000A7FD1">
        <w:rPr>
          <w:rFonts w:ascii="Arial" w:hAnsi="Arial" w:cs="Arial"/>
          <w:sz w:val="22"/>
        </w:rPr>
        <w:t xml:space="preserve">U.S.C. </w:t>
      </w:r>
      <w:r w:rsidR="00261887" w:rsidRPr="000A7FD1">
        <w:rPr>
          <w:rFonts w:ascii="Arial" w:hAnsi="Arial" w:cs="Arial"/>
          <w:sz w:val="22"/>
        </w:rPr>
        <w:t xml:space="preserve">§ </w:t>
      </w:r>
      <w:r w:rsidRPr="000A7FD1">
        <w:rPr>
          <w:rFonts w:ascii="Arial" w:hAnsi="Arial" w:cs="Arial"/>
          <w:sz w:val="22"/>
        </w:rPr>
        <w:t>661a(2)).</w:t>
      </w:r>
    </w:p>
    <w:p w14:paraId="5F9D7FCF" w14:textId="734A9CD2" w:rsidR="00A04DF5" w:rsidRPr="000A7FD1" w:rsidRDefault="00A04DF5" w:rsidP="000D1813">
      <w:pPr>
        <w:pStyle w:val="FAM-Bullet-2"/>
        <w:numPr>
          <w:ilvl w:val="0"/>
          <w:numId w:val="38"/>
        </w:numPr>
        <w:ind w:left="1800"/>
        <w:rPr>
          <w:rFonts w:ascii="Arial" w:hAnsi="Arial" w:cs="Arial"/>
          <w:sz w:val="22"/>
        </w:rPr>
      </w:pPr>
      <w:r w:rsidRPr="000A7FD1">
        <w:rPr>
          <w:rFonts w:ascii="Arial" w:hAnsi="Arial" w:cs="Arial"/>
          <w:b/>
          <w:sz w:val="22"/>
        </w:rPr>
        <w:t>Loan guarantees</w:t>
      </w:r>
      <w:r w:rsidRPr="000A7FD1">
        <w:rPr>
          <w:rFonts w:ascii="Arial" w:hAnsi="Arial" w:cs="Arial"/>
          <w:sz w:val="22"/>
        </w:rPr>
        <w:t xml:space="preserve"> are any guarantee</w:t>
      </w:r>
      <w:r w:rsidR="00841B31" w:rsidRPr="000A7FD1">
        <w:rPr>
          <w:rFonts w:ascii="Arial" w:hAnsi="Arial" w:cs="Arial"/>
          <w:sz w:val="22"/>
        </w:rPr>
        <w:t>s</w:t>
      </w:r>
      <w:r w:rsidRPr="000A7FD1">
        <w:rPr>
          <w:rFonts w:ascii="Arial" w:hAnsi="Arial" w:cs="Arial"/>
          <w:sz w:val="22"/>
        </w:rPr>
        <w:t>, insurance, or other pledge</w:t>
      </w:r>
      <w:r w:rsidR="00841B31" w:rsidRPr="000A7FD1">
        <w:rPr>
          <w:rFonts w:ascii="Arial" w:hAnsi="Arial" w:cs="Arial"/>
          <w:sz w:val="22"/>
        </w:rPr>
        <w:t>s</w:t>
      </w:r>
      <w:r w:rsidRPr="000A7FD1">
        <w:rPr>
          <w:rFonts w:ascii="Arial" w:hAnsi="Arial" w:cs="Arial"/>
          <w:sz w:val="22"/>
        </w:rPr>
        <w:t xml:space="preserve"> with respect to the payment of all or a part of the principal or interest on any debt obligation</w:t>
      </w:r>
      <w:r w:rsidR="00841B31" w:rsidRPr="000A7FD1">
        <w:rPr>
          <w:rFonts w:ascii="Arial" w:hAnsi="Arial" w:cs="Arial"/>
          <w:sz w:val="22"/>
        </w:rPr>
        <w:t>s</w:t>
      </w:r>
      <w:r w:rsidRPr="000A7FD1">
        <w:rPr>
          <w:rFonts w:ascii="Arial" w:hAnsi="Arial" w:cs="Arial"/>
          <w:sz w:val="22"/>
        </w:rPr>
        <w:t xml:space="preserve"> of nonfederal borrower</w:t>
      </w:r>
      <w:r w:rsidR="00841B31" w:rsidRPr="000A7FD1">
        <w:rPr>
          <w:rFonts w:ascii="Arial" w:hAnsi="Arial" w:cs="Arial"/>
          <w:sz w:val="22"/>
        </w:rPr>
        <w:t>s</w:t>
      </w:r>
      <w:r w:rsidRPr="000A7FD1">
        <w:rPr>
          <w:rFonts w:ascii="Arial" w:hAnsi="Arial" w:cs="Arial"/>
          <w:sz w:val="22"/>
        </w:rPr>
        <w:t xml:space="preserve"> to nonfederal lender</w:t>
      </w:r>
      <w:r w:rsidR="00841B31" w:rsidRPr="000A7FD1">
        <w:rPr>
          <w:rFonts w:ascii="Arial" w:hAnsi="Arial" w:cs="Arial"/>
          <w:sz w:val="22"/>
        </w:rPr>
        <w:t>s</w:t>
      </w:r>
      <w:r w:rsidRPr="000A7FD1">
        <w:rPr>
          <w:rFonts w:ascii="Arial" w:hAnsi="Arial" w:cs="Arial"/>
          <w:sz w:val="22"/>
        </w:rPr>
        <w:t>, but do</w:t>
      </w:r>
      <w:r w:rsidR="00841B31" w:rsidRPr="000A7FD1">
        <w:rPr>
          <w:rFonts w:ascii="Arial" w:hAnsi="Arial" w:cs="Arial"/>
          <w:sz w:val="22"/>
        </w:rPr>
        <w:t xml:space="preserve"> </w:t>
      </w:r>
      <w:r w:rsidRPr="000A7FD1">
        <w:rPr>
          <w:rFonts w:ascii="Arial" w:hAnsi="Arial" w:cs="Arial"/>
          <w:sz w:val="22"/>
        </w:rPr>
        <w:t xml:space="preserve">not include the insurance of deposits, shares, or other withdrawable accounts in financial institutions (2 U.S.C. </w:t>
      </w:r>
      <w:r w:rsidR="00261887" w:rsidRPr="000A7FD1">
        <w:rPr>
          <w:rFonts w:ascii="Arial" w:hAnsi="Arial" w:cs="Arial"/>
          <w:sz w:val="22"/>
        </w:rPr>
        <w:t xml:space="preserve">§ </w:t>
      </w:r>
      <w:r w:rsidRPr="000A7FD1">
        <w:rPr>
          <w:rFonts w:ascii="Arial" w:hAnsi="Arial" w:cs="Arial"/>
          <w:sz w:val="22"/>
        </w:rPr>
        <w:t>661a(3)).</w:t>
      </w:r>
    </w:p>
    <w:p w14:paraId="383D1A51" w14:textId="7C4EA6F7" w:rsidR="00A04DF5" w:rsidRPr="000A7FD1" w:rsidRDefault="00A04DF5" w:rsidP="000D1813">
      <w:pPr>
        <w:pStyle w:val="FAM-Bullet-2"/>
        <w:numPr>
          <w:ilvl w:val="0"/>
          <w:numId w:val="38"/>
        </w:numPr>
        <w:ind w:left="1800"/>
        <w:rPr>
          <w:rFonts w:ascii="Arial" w:hAnsi="Arial" w:cs="Arial"/>
          <w:sz w:val="22"/>
        </w:rPr>
      </w:pPr>
      <w:r w:rsidRPr="000A7FD1">
        <w:rPr>
          <w:rFonts w:ascii="Arial" w:hAnsi="Arial" w:cs="Arial"/>
          <w:b/>
          <w:sz w:val="22"/>
        </w:rPr>
        <w:t>Loan guarantee commitment</w:t>
      </w:r>
      <w:r w:rsidR="00841B31" w:rsidRPr="000A7FD1">
        <w:rPr>
          <w:rFonts w:ascii="Arial" w:hAnsi="Arial" w:cs="Arial"/>
          <w:b/>
          <w:sz w:val="22"/>
        </w:rPr>
        <w:t>s</w:t>
      </w:r>
      <w:r w:rsidRPr="000A7FD1">
        <w:rPr>
          <w:rFonts w:ascii="Arial" w:hAnsi="Arial" w:cs="Arial"/>
          <w:sz w:val="22"/>
        </w:rPr>
        <w:t xml:space="preserve"> are binding agreements by a federal agency to make loan guarantee</w:t>
      </w:r>
      <w:r w:rsidR="00841B31" w:rsidRPr="000A7FD1">
        <w:rPr>
          <w:rFonts w:ascii="Arial" w:hAnsi="Arial" w:cs="Arial"/>
          <w:sz w:val="22"/>
        </w:rPr>
        <w:t>s</w:t>
      </w:r>
      <w:r w:rsidRPr="000A7FD1">
        <w:rPr>
          <w:rFonts w:ascii="Arial" w:hAnsi="Arial" w:cs="Arial"/>
          <w:sz w:val="22"/>
        </w:rPr>
        <w:t xml:space="preserve"> when specified conditions are fulfilled by borrower</w:t>
      </w:r>
      <w:r w:rsidR="00841B31" w:rsidRPr="000A7FD1">
        <w:rPr>
          <w:rFonts w:ascii="Arial" w:hAnsi="Arial" w:cs="Arial"/>
          <w:sz w:val="22"/>
        </w:rPr>
        <w:t>s</w:t>
      </w:r>
      <w:r w:rsidRPr="000A7FD1">
        <w:rPr>
          <w:rFonts w:ascii="Arial" w:hAnsi="Arial" w:cs="Arial"/>
          <w:sz w:val="22"/>
        </w:rPr>
        <w:t>, lender</w:t>
      </w:r>
      <w:r w:rsidR="00841B31" w:rsidRPr="000A7FD1">
        <w:rPr>
          <w:rFonts w:ascii="Arial" w:hAnsi="Arial" w:cs="Arial"/>
          <w:sz w:val="22"/>
        </w:rPr>
        <w:t>s</w:t>
      </w:r>
      <w:r w:rsidRPr="000A7FD1">
        <w:rPr>
          <w:rFonts w:ascii="Arial" w:hAnsi="Arial" w:cs="Arial"/>
          <w:sz w:val="22"/>
        </w:rPr>
        <w:t>, or any part</w:t>
      </w:r>
      <w:r w:rsidR="00841B31" w:rsidRPr="000A7FD1">
        <w:rPr>
          <w:rFonts w:ascii="Arial" w:hAnsi="Arial" w:cs="Arial"/>
          <w:sz w:val="22"/>
        </w:rPr>
        <w:t>ies</w:t>
      </w:r>
      <w:r w:rsidRPr="000A7FD1">
        <w:rPr>
          <w:rFonts w:ascii="Arial" w:hAnsi="Arial" w:cs="Arial"/>
          <w:sz w:val="22"/>
        </w:rPr>
        <w:t xml:space="preserve"> to guarantee agreement</w:t>
      </w:r>
      <w:r w:rsidR="00841B31" w:rsidRPr="000A7FD1">
        <w:rPr>
          <w:rFonts w:ascii="Arial" w:hAnsi="Arial" w:cs="Arial"/>
          <w:sz w:val="22"/>
        </w:rPr>
        <w:t>s</w:t>
      </w:r>
      <w:r w:rsidRPr="000A7FD1">
        <w:rPr>
          <w:rFonts w:ascii="Arial" w:hAnsi="Arial" w:cs="Arial"/>
          <w:sz w:val="22"/>
        </w:rPr>
        <w:t xml:space="preserve"> (2 U.S.C. </w:t>
      </w:r>
      <w:r w:rsidR="00261887" w:rsidRPr="000A7FD1">
        <w:rPr>
          <w:rFonts w:ascii="Arial" w:hAnsi="Arial" w:cs="Arial"/>
          <w:sz w:val="22"/>
        </w:rPr>
        <w:t xml:space="preserve">§ </w:t>
      </w:r>
      <w:r w:rsidRPr="000A7FD1">
        <w:rPr>
          <w:rFonts w:ascii="Arial" w:hAnsi="Arial" w:cs="Arial"/>
          <w:sz w:val="22"/>
        </w:rPr>
        <w:t>661a(4)).</w:t>
      </w:r>
    </w:p>
    <w:p w14:paraId="1B276168" w14:textId="5E753569" w:rsidR="00A04DF5" w:rsidRPr="000A7FD1" w:rsidRDefault="00A04DF5" w:rsidP="000D1813">
      <w:pPr>
        <w:pStyle w:val="FAM-Bullet-2"/>
        <w:numPr>
          <w:ilvl w:val="0"/>
          <w:numId w:val="38"/>
        </w:numPr>
        <w:ind w:left="1800"/>
        <w:rPr>
          <w:rFonts w:ascii="Arial" w:hAnsi="Arial" w:cs="Arial"/>
          <w:sz w:val="22"/>
        </w:rPr>
      </w:pPr>
      <w:r w:rsidRPr="000A7FD1">
        <w:rPr>
          <w:rFonts w:ascii="Arial" w:hAnsi="Arial" w:cs="Arial"/>
          <w:b/>
          <w:sz w:val="22"/>
        </w:rPr>
        <w:t>Cost</w:t>
      </w:r>
      <w:r w:rsidRPr="000A7FD1">
        <w:rPr>
          <w:rFonts w:ascii="Arial" w:hAnsi="Arial" w:cs="Arial"/>
          <w:sz w:val="22"/>
        </w:rPr>
        <w:t xml:space="preserve"> is defined as the estimated long-term cost to the government of a direct loan or loan guarantee, calculated on a net present value basis, or modification thereof, excluding administrative costs and any incidental effects on governmental receipts or outlays (2 U.S.C. </w:t>
      </w:r>
      <w:r w:rsidR="00261887" w:rsidRPr="000A7FD1">
        <w:rPr>
          <w:rFonts w:ascii="Arial" w:hAnsi="Arial" w:cs="Arial"/>
          <w:sz w:val="22"/>
        </w:rPr>
        <w:t xml:space="preserve">§ </w:t>
      </w:r>
      <w:r w:rsidRPr="000A7FD1">
        <w:rPr>
          <w:rFonts w:ascii="Arial" w:hAnsi="Arial" w:cs="Arial"/>
          <w:sz w:val="22"/>
        </w:rPr>
        <w:t xml:space="preserve">661a(5)). These calculations </w:t>
      </w:r>
      <w:r w:rsidRPr="000A7FD1">
        <w:rPr>
          <w:rFonts w:ascii="Arial" w:hAnsi="Arial" w:cs="Arial"/>
          <w:sz w:val="22"/>
        </w:rPr>
        <w:lastRenderedPageBreak/>
        <w:t>are described in further detail under the valuation control objective for obligations in FAM 395</w:t>
      </w:r>
      <w:r w:rsidR="00613EF6" w:rsidRPr="000A7FD1">
        <w:rPr>
          <w:rFonts w:ascii="Arial" w:hAnsi="Arial" w:cs="Arial"/>
          <w:sz w:val="22"/>
        </w:rPr>
        <w:t xml:space="preserve"> </w:t>
      </w:r>
      <w:r w:rsidRPr="000A7FD1">
        <w:rPr>
          <w:rFonts w:ascii="Arial" w:hAnsi="Arial" w:cs="Arial"/>
          <w:sz w:val="22"/>
        </w:rPr>
        <w:t>F.</w:t>
      </w:r>
    </w:p>
    <w:p w14:paraId="50D08D4D" w14:textId="5C8A1893" w:rsidR="00A04DF5" w:rsidRPr="000A7FD1" w:rsidRDefault="00A04DF5" w:rsidP="000D1813">
      <w:pPr>
        <w:pStyle w:val="FAM-Bullet-2"/>
        <w:numPr>
          <w:ilvl w:val="0"/>
          <w:numId w:val="38"/>
        </w:numPr>
        <w:ind w:left="1800"/>
        <w:rPr>
          <w:rFonts w:ascii="Arial" w:hAnsi="Arial" w:cs="Arial"/>
          <w:sz w:val="22"/>
        </w:rPr>
      </w:pPr>
      <w:r w:rsidRPr="000A7FD1">
        <w:rPr>
          <w:rFonts w:ascii="Arial" w:hAnsi="Arial" w:cs="Arial"/>
          <w:b/>
          <w:sz w:val="22"/>
        </w:rPr>
        <w:t>Credit program accounts</w:t>
      </w:r>
      <w:r w:rsidRPr="000A7FD1">
        <w:rPr>
          <w:rFonts w:ascii="Arial" w:hAnsi="Arial" w:cs="Arial"/>
          <w:sz w:val="22"/>
        </w:rPr>
        <w:t xml:space="preserve"> are the budget account</w:t>
      </w:r>
      <w:r w:rsidR="00841B31" w:rsidRPr="000A7FD1">
        <w:rPr>
          <w:rFonts w:ascii="Arial" w:hAnsi="Arial" w:cs="Arial"/>
          <w:sz w:val="22"/>
        </w:rPr>
        <w:t>s</w:t>
      </w:r>
      <w:r w:rsidRPr="000A7FD1">
        <w:rPr>
          <w:rFonts w:ascii="Arial" w:hAnsi="Arial" w:cs="Arial"/>
          <w:sz w:val="22"/>
        </w:rPr>
        <w:t xml:space="preserve"> associated with each program account into which appropriation</w:t>
      </w:r>
      <w:r w:rsidR="00841B31" w:rsidRPr="000A7FD1">
        <w:rPr>
          <w:rFonts w:ascii="Arial" w:hAnsi="Arial" w:cs="Arial"/>
          <w:sz w:val="22"/>
        </w:rPr>
        <w:t>s</w:t>
      </w:r>
      <w:r w:rsidRPr="000A7FD1">
        <w:rPr>
          <w:rFonts w:ascii="Arial" w:hAnsi="Arial" w:cs="Arial"/>
          <w:sz w:val="22"/>
        </w:rPr>
        <w:t xml:space="preserve"> to cover the cost</w:t>
      </w:r>
      <w:r w:rsidR="00841B31" w:rsidRPr="000A7FD1">
        <w:rPr>
          <w:rFonts w:ascii="Arial" w:hAnsi="Arial" w:cs="Arial"/>
          <w:sz w:val="22"/>
        </w:rPr>
        <w:t>s</w:t>
      </w:r>
      <w:r w:rsidRPr="000A7FD1">
        <w:rPr>
          <w:rFonts w:ascii="Arial" w:hAnsi="Arial" w:cs="Arial"/>
          <w:sz w:val="22"/>
        </w:rPr>
        <w:t xml:space="preserve"> of direct loan</w:t>
      </w:r>
      <w:r w:rsidR="00841B31" w:rsidRPr="000A7FD1">
        <w:rPr>
          <w:rFonts w:ascii="Arial" w:hAnsi="Arial" w:cs="Arial"/>
          <w:sz w:val="22"/>
        </w:rPr>
        <w:t>s</w:t>
      </w:r>
      <w:r w:rsidRPr="000A7FD1">
        <w:rPr>
          <w:rFonts w:ascii="Arial" w:hAnsi="Arial" w:cs="Arial"/>
          <w:sz w:val="22"/>
        </w:rPr>
        <w:t xml:space="preserve"> or loan guarantee program</w:t>
      </w:r>
      <w:r w:rsidR="00841B31" w:rsidRPr="000A7FD1">
        <w:rPr>
          <w:rFonts w:ascii="Arial" w:hAnsi="Arial" w:cs="Arial"/>
          <w:sz w:val="22"/>
        </w:rPr>
        <w:t>s</w:t>
      </w:r>
      <w:r w:rsidRPr="000A7FD1">
        <w:rPr>
          <w:rFonts w:ascii="Arial" w:hAnsi="Arial" w:cs="Arial"/>
          <w:sz w:val="22"/>
        </w:rPr>
        <w:t xml:space="preserve"> </w:t>
      </w:r>
      <w:r w:rsidR="00841B31" w:rsidRPr="000A7FD1">
        <w:rPr>
          <w:rFonts w:ascii="Arial" w:hAnsi="Arial" w:cs="Arial"/>
          <w:sz w:val="22"/>
        </w:rPr>
        <w:t>are</w:t>
      </w:r>
      <w:r w:rsidRPr="000A7FD1">
        <w:rPr>
          <w:rFonts w:ascii="Arial" w:hAnsi="Arial" w:cs="Arial"/>
          <w:sz w:val="22"/>
        </w:rPr>
        <w:t xml:space="preserve"> made and from which such cost</w:t>
      </w:r>
      <w:r w:rsidR="00841B31" w:rsidRPr="000A7FD1">
        <w:rPr>
          <w:rFonts w:ascii="Arial" w:hAnsi="Arial" w:cs="Arial"/>
          <w:sz w:val="22"/>
        </w:rPr>
        <w:t>s</w:t>
      </w:r>
      <w:r w:rsidRPr="000A7FD1">
        <w:rPr>
          <w:rFonts w:ascii="Arial" w:hAnsi="Arial" w:cs="Arial"/>
          <w:sz w:val="22"/>
        </w:rPr>
        <w:t xml:space="preserve"> </w:t>
      </w:r>
      <w:r w:rsidR="00841B31" w:rsidRPr="000A7FD1">
        <w:rPr>
          <w:rFonts w:ascii="Arial" w:hAnsi="Arial" w:cs="Arial"/>
          <w:sz w:val="22"/>
        </w:rPr>
        <w:t>are</w:t>
      </w:r>
      <w:r w:rsidRPr="000A7FD1">
        <w:rPr>
          <w:rFonts w:ascii="Arial" w:hAnsi="Arial" w:cs="Arial"/>
          <w:sz w:val="22"/>
        </w:rPr>
        <w:t xml:space="preserve"> disbursed to the financing account</w:t>
      </w:r>
      <w:r w:rsidR="00841B31" w:rsidRPr="000A7FD1">
        <w:rPr>
          <w:rFonts w:ascii="Arial" w:hAnsi="Arial" w:cs="Arial"/>
          <w:sz w:val="22"/>
        </w:rPr>
        <w:t>s</w:t>
      </w:r>
      <w:r w:rsidRPr="000A7FD1">
        <w:rPr>
          <w:rFonts w:ascii="Arial" w:hAnsi="Arial" w:cs="Arial"/>
          <w:sz w:val="22"/>
        </w:rPr>
        <w:t xml:space="preserve"> (2 U.S.C. </w:t>
      </w:r>
      <w:r w:rsidR="00261887" w:rsidRPr="000A7FD1">
        <w:rPr>
          <w:rFonts w:ascii="Arial" w:hAnsi="Arial" w:cs="Arial"/>
          <w:sz w:val="22"/>
        </w:rPr>
        <w:t xml:space="preserve">§ </w:t>
      </w:r>
      <w:r w:rsidRPr="000A7FD1">
        <w:rPr>
          <w:rFonts w:ascii="Arial" w:hAnsi="Arial" w:cs="Arial"/>
          <w:sz w:val="22"/>
        </w:rPr>
        <w:t>661a(6)).</w:t>
      </w:r>
    </w:p>
    <w:p w14:paraId="6BC9977D" w14:textId="6B79F038" w:rsidR="00A04DF5" w:rsidRPr="000A7FD1" w:rsidRDefault="00A04DF5" w:rsidP="000D1813">
      <w:pPr>
        <w:pStyle w:val="FAM-Bullet-2"/>
        <w:numPr>
          <w:ilvl w:val="0"/>
          <w:numId w:val="38"/>
        </w:numPr>
        <w:ind w:left="1800"/>
        <w:rPr>
          <w:rFonts w:ascii="Arial" w:hAnsi="Arial" w:cs="Arial"/>
          <w:sz w:val="22"/>
        </w:rPr>
      </w:pPr>
      <w:r w:rsidRPr="000A7FD1">
        <w:rPr>
          <w:rFonts w:ascii="Arial" w:hAnsi="Arial" w:cs="Arial"/>
          <w:b/>
          <w:sz w:val="22"/>
        </w:rPr>
        <w:t>Financing accounts</w:t>
      </w:r>
      <w:r w:rsidRPr="000A7FD1">
        <w:rPr>
          <w:rFonts w:ascii="Arial" w:hAnsi="Arial" w:cs="Arial"/>
          <w:sz w:val="22"/>
        </w:rPr>
        <w:t xml:space="preserve"> are the nonbudget account</w:t>
      </w:r>
      <w:r w:rsidR="00841B31" w:rsidRPr="000A7FD1">
        <w:rPr>
          <w:rFonts w:ascii="Arial" w:hAnsi="Arial" w:cs="Arial"/>
          <w:sz w:val="22"/>
        </w:rPr>
        <w:t>s</w:t>
      </w:r>
      <w:r w:rsidRPr="000A7FD1">
        <w:rPr>
          <w:rFonts w:ascii="Arial" w:hAnsi="Arial" w:cs="Arial"/>
          <w:sz w:val="22"/>
        </w:rPr>
        <w:t xml:space="preserve"> associated with each credit program account that hold balances, receive the cost payment from the credit program account, and include all other cash flows to and from the government resulting from direct loan obligations or loan guarantee commitments made on or after October 1, 1991 (2 U.S.C. </w:t>
      </w:r>
      <w:r w:rsidR="00261887" w:rsidRPr="000A7FD1">
        <w:rPr>
          <w:rFonts w:ascii="Arial" w:hAnsi="Arial" w:cs="Arial"/>
          <w:sz w:val="22"/>
        </w:rPr>
        <w:t xml:space="preserve">§ </w:t>
      </w:r>
      <w:r w:rsidRPr="000A7FD1">
        <w:rPr>
          <w:rFonts w:ascii="Arial" w:hAnsi="Arial" w:cs="Arial"/>
          <w:sz w:val="22"/>
        </w:rPr>
        <w:t>661a(7)).</w:t>
      </w:r>
    </w:p>
    <w:p w14:paraId="2FC5926B" w14:textId="5F21F777" w:rsidR="00A04DF5" w:rsidRPr="000A7FD1" w:rsidRDefault="00A04DF5" w:rsidP="000D1813">
      <w:pPr>
        <w:pStyle w:val="FAM-Bullet-2"/>
        <w:numPr>
          <w:ilvl w:val="0"/>
          <w:numId w:val="38"/>
        </w:numPr>
        <w:ind w:left="1800"/>
        <w:rPr>
          <w:rFonts w:ascii="Arial" w:hAnsi="Arial" w:cs="Arial"/>
          <w:sz w:val="22"/>
        </w:rPr>
      </w:pPr>
      <w:r w:rsidRPr="000A7FD1">
        <w:rPr>
          <w:rFonts w:ascii="Arial" w:hAnsi="Arial" w:cs="Arial"/>
          <w:b/>
          <w:sz w:val="22"/>
        </w:rPr>
        <w:t>Liquidating accounts</w:t>
      </w:r>
      <w:r w:rsidRPr="000A7FD1">
        <w:rPr>
          <w:rFonts w:ascii="Arial" w:hAnsi="Arial" w:cs="Arial"/>
          <w:sz w:val="22"/>
        </w:rPr>
        <w:t xml:space="preserve"> are the budget account</w:t>
      </w:r>
      <w:r w:rsidR="00841B31" w:rsidRPr="000A7FD1">
        <w:rPr>
          <w:rFonts w:ascii="Arial" w:hAnsi="Arial" w:cs="Arial"/>
          <w:sz w:val="22"/>
        </w:rPr>
        <w:t>s</w:t>
      </w:r>
      <w:r w:rsidRPr="000A7FD1">
        <w:rPr>
          <w:rFonts w:ascii="Arial" w:hAnsi="Arial" w:cs="Arial"/>
          <w:sz w:val="22"/>
        </w:rPr>
        <w:t xml:space="preserve"> that include all cash flows to and from the government resulting from direct loan obligations or loan guarantee commitments made prior to October 1, 1991. These accounts are shown on a cash basis (2 U.S.C. </w:t>
      </w:r>
      <w:r w:rsidR="00261887" w:rsidRPr="000A7FD1">
        <w:rPr>
          <w:rFonts w:ascii="Arial" w:hAnsi="Arial" w:cs="Arial"/>
          <w:sz w:val="22"/>
        </w:rPr>
        <w:t xml:space="preserve">§ </w:t>
      </w:r>
      <w:r w:rsidRPr="000A7FD1">
        <w:rPr>
          <w:rFonts w:ascii="Arial" w:hAnsi="Arial" w:cs="Arial"/>
          <w:sz w:val="22"/>
        </w:rPr>
        <w:t>661a(8)).</w:t>
      </w:r>
    </w:p>
    <w:p w14:paraId="5BB29342" w14:textId="1ECA3337" w:rsidR="00A90B7B" w:rsidRPr="000A7FD1" w:rsidRDefault="00A04DF5" w:rsidP="000D1813">
      <w:pPr>
        <w:pStyle w:val="FAM-Bullet-2"/>
        <w:numPr>
          <w:ilvl w:val="0"/>
          <w:numId w:val="38"/>
        </w:numPr>
        <w:ind w:left="1800"/>
        <w:rPr>
          <w:rFonts w:ascii="Arial" w:hAnsi="Arial" w:cs="Arial"/>
          <w:sz w:val="22"/>
        </w:rPr>
      </w:pPr>
      <w:r w:rsidRPr="000A7FD1">
        <w:rPr>
          <w:rFonts w:ascii="Arial" w:hAnsi="Arial" w:cs="Arial"/>
          <w:b/>
          <w:sz w:val="22"/>
        </w:rPr>
        <w:t>Modifications</w:t>
      </w:r>
      <w:r w:rsidRPr="000A7FD1">
        <w:rPr>
          <w:rFonts w:ascii="Arial" w:hAnsi="Arial" w:cs="Arial"/>
          <w:sz w:val="22"/>
        </w:rPr>
        <w:t xml:space="preserve"> are government actions that alter the estimated cost of an outstanding direct loan (o</w:t>
      </w:r>
      <w:r w:rsidR="00E27880" w:rsidRPr="000A7FD1">
        <w:rPr>
          <w:rFonts w:ascii="Arial" w:hAnsi="Arial" w:cs="Arial"/>
          <w:sz w:val="22"/>
        </w:rPr>
        <w:t>r</w:t>
      </w:r>
      <w:r w:rsidRPr="000A7FD1">
        <w:rPr>
          <w:rFonts w:ascii="Arial" w:hAnsi="Arial" w:cs="Arial"/>
          <w:sz w:val="22"/>
        </w:rPr>
        <w:t xml:space="preserve"> direct loan obligation) or loan guarantee (or loan guarantee commitment) from the current estimate of cash flows (2 U.S.C. </w:t>
      </w:r>
      <w:r w:rsidR="00261887" w:rsidRPr="000A7FD1">
        <w:rPr>
          <w:rFonts w:ascii="Arial" w:hAnsi="Arial" w:cs="Arial"/>
          <w:sz w:val="22"/>
        </w:rPr>
        <w:t xml:space="preserve">§ </w:t>
      </w:r>
      <w:r w:rsidRPr="000A7FD1">
        <w:rPr>
          <w:rFonts w:ascii="Arial" w:hAnsi="Arial" w:cs="Arial"/>
          <w:sz w:val="22"/>
        </w:rPr>
        <w:t xml:space="preserve">661c(9)). </w:t>
      </w:r>
      <w:r w:rsidR="00841B31" w:rsidRPr="000A7FD1">
        <w:rPr>
          <w:rFonts w:ascii="Arial" w:hAnsi="Arial" w:cs="Arial"/>
          <w:sz w:val="22"/>
        </w:rPr>
        <w:t xml:space="preserve">These </w:t>
      </w:r>
      <w:r w:rsidRPr="000A7FD1">
        <w:rPr>
          <w:rFonts w:ascii="Arial" w:hAnsi="Arial" w:cs="Arial"/>
          <w:sz w:val="22"/>
        </w:rPr>
        <w:t xml:space="preserve">include the sale of loan assets, with or without recourse, and the purchase of guaranteed loans. </w:t>
      </w:r>
      <w:r w:rsidR="00841B31" w:rsidRPr="000A7FD1">
        <w:rPr>
          <w:rFonts w:ascii="Arial" w:hAnsi="Arial" w:cs="Arial"/>
          <w:sz w:val="22"/>
        </w:rPr>
        <w:t xml:space="preserve">They </w:t>
      </w:r>
      <w:r w:rsidRPr="000A7FD1">
        <w:rPr>
          <w:rFonts w:ascii="Arial" w:hAnsi="Arial" w:cs="Arial"/>
          <w:sz w:val="22"/>
        </w:rPr>
        <w:t>also include the action</w:t>
      </w:r>
      <w:r w:rsidR="00841B31" w:rsidRPr="000A7FD1">
        <w:rPr>
          <w:rFonts w:ascii="Arial" w:hAnsi="Arial" w:cs="Arial"/>
          <w:sz w:val="22"/>
        </w:rPr>
        <w:t>s</w:t>
      </w:r>
      <w:r w:rsidRPr="000A7FD1">
        <w:rPr>
          <w:rFonts w:ascii="Arial" w:hAnsi="Arial" w:cs="Arial"/>
          <w:sz w:val="22"/>
        </w:rPr>
        <w:t xml:space="preserve"> resulting from new </w:t>
      </w:r>
      <w:r w:rsidR="00E27880" w:rsidRPr="000A7FD1">
        <w:rPr>
          <w:rFonts w:ascii="Arial" w:hAnsi="Arial" w:cs="Arial"/>
          <w:sz w:val="22"/>
        </w:rPr>
        <w:t>statutes</w:t>
      </w:r>
      <w:r w:rsidRPr="000A7FD1">
        <w:rPr>
          <w:rFonts w:ascii="Arial" w:hAnsi="Arial" w:cs="Arial"/>
          <w:sz w:val="22"/>
        </w:rPr>
        <w:t xml:space="preserve">, or from the exercise of administrative discretion under existing law, that directly or indirectly alter the estimated cost of outstanding direct loans (or direct loan obligations) or loan guarantees (or loan guarantee commitments). </w:t>
      </w:r>
    </w:p>
    <w:p w14:paraId="498EDE06" w14:textId="3689B35C" w:rsidR="00A04DF5" w:rsidRPr="000A7FD1" w:rsidRDefault="00A04DF5" w:rsidP="00245B63">
      <w:pPr>
        <w:pStyle w:val="FAM-Bullet-2"/>
        <w:numPr>
          <w:ilvl w:val="0"/>
          <w:numId w:val="0"/>
        </w:numPr>
        <w:ind w:left="1800"/>
        <w:rPr>
          <w:rFonts w:ascii="Arial" w:hAnsi="Arial" w:cs="Arial"/>
          <w:sz w:val="22"/>
        </w:rPr>
      </w:pPr>
      <w:r w:rsidRPr="000A7FD1">
        <w:rPr>
          <w:rFonts w:ascii="Arial" w:hAnsi="Arial" w:cs="Arial"/>
          <w:sz w:val="22"/>
        </w:rPr>
        <w:t xml:space="preserve">For example, a policy change affecting the repayment period or interest rate for a group of existing loans would be a modification. Changes within the terms of existing contracts or through other existing authorities are not modifications under FCRA. In addition, “work outs” of individual loans, such as a change in the amount or timing of payments to be made, are not modifications. The effects of these changes are included in the annual </w:t>
      </w:r>
      <w:proofErr w:type="spellStart"/>
      <w:r w:rsidRPr="000A7FD1">
        <w:rPr>
          <w:rFonts w:ascii="Arial" w:hAnsi="Arial" w:cs="Arial"/>
          <w:sz w:val="22"/>
        </w:rPr>
        <w:t>reestimates</w:t>
      </w:r>
      <w:proofErr w:type="spellEnd"/>
      <w:r w:rsidRPr="000A7FD1">
        <w:rPr>
          <w:rFonts w:ascii="Arial" w:hAnsi="Arial" w:cs="Arial"/>
          <w:sz w:val="22"/>
        </w:rPr>
        <w:t xml:space="preserve"> of the estimated net present value of the obligations.</w:t>
      </w:r>
    </w:p>
    <w:p w14:paraId="08E86D24" w14:textId="77777777" w:rsidR="00BC44BB" w:rsidRPr="000A7FD1" w:rsidRDefault="00A04DF5" w:rsidP="00245B63">
      <w:pPr>
        <w:pStyle w:val="FAMContinuation2"/>
      </w:pPr>
      <w:proofErr w:type="spellStart"/>
      <w:r w:rsidRPr="000A7FD1">
        <w:t>Reestimates</w:t>
      </w:r>
      <w:proofErr w:type="spellEnd"/>
      <w:r w:rsidRPr="000A7FD1">
        <w:t xml:space="preserve"> are generally made annually to adjust the net present value of direct loans and loan guarantee obligations for changes in the estimated amounts of items such as defaults and </w:t>
      </w:r>
      <w:r w:rsidR="00841B31" w:rsidRPr="000A7FD1">
        <w:t xml:space="preserve">in </w:t>
      </w:r>
      <w:r w:rsidRPr="000A7FD1">
        <w:t xml:space="preserve">the timing of payments. Permanent indefinite authority has been provided for </w:t>
      </w:r>
      <w:proofErr w:type="spellStart"/>
      <w:r w:rsidRPr="000A7FD1">
        <w:t>reestimates</w:t>
      </w:r>
      <w:proofErr w:type="spellEnd"/>
      <w:r w:rsidRPr="000A7FD1">
        <w:t>.</w:t>
      </w:r>
    </w:p>
    <w:p w14:paraId="57AFB333" w14:textId="77777777" w:rsidR="00BC44BB" w:rsidRPr="000A7FD1" w:rsidRDefault="00BC44BB" w:rsidP="00E84F1D">
      <w:pPr>
        <w:pStyle w:val="FAM-Bullet-2"/>
        <w:numPr>
          <w:ilvl w:val="0"/>
          <w:numId w:val="0"/>
        </w:numPr>
        <w:ind w:left="1800"/>
        <w:rPr>
          <w:rFonts w:ascii="Arial" w:hAnsi="Arial" w:cs="Arial"/>
          <w:sz w:val="22"/>
        </w:rPr>
      </w:pPr>
    </w:p>
    <w:p w14:paraId="06B55D69" w14:textId="77777777" w:rsidR="00BC44BB" w:rsidRPr="000A7FD1" w:rsidRDefault="00BC44BB" w:rsidP="00E84F1D">
      <w:pPr>
        <w:pStyle w:val="FAM-Bullet-2"/>
        <w:numPr>
          <w:ilvl w:val="0"/>
          <w:numId w:val="0"/>
        </w:numPr>
        <w:ind w:left="1800"/>
        <w:rPr>
          <w:rFonts w:ascii="Arial" w:hAnsi="Arial" w:cs="Arial"/>
          <w:sz w:val="22"/>
        </w:rPr>
      </w:pPr>
    </w:p>
    <w:p w14:paraId="76CD4282" w14:textId="77777777" w:rsidR="00BC44BB" w:rsidRPr="000A7FD1" w:rsidRDefault="00BC44BB" w:rsidP="00E84F1D">
      <w:pPr>
        <w:pStyle w:val="FAM-Bullet-2"/>
        <w:numPr>
          <w:ilvl w:val="0"/>
          <w:numId w:val="0"/>
        </w:numPr>
        <w:ind w:left="1800"/>
        <w:rPr>
          <w:rFonts w:ascii="Arial" w:hAnsi="Arial" w:cs="Arial"/>
          <w:sz w:val="22"/>
        </w:rPr>
      </w:pPr>
    </w:p>
    <w:p w14:paraId="3B7D6C5D" w14:textId="77777777" w:rsidR="00BC44BB" w:rsidRPr="000A7FD1" w:rsidRDefault="00BC44BB" w:rsidP="00E84F1D">
      <w:pPr>
        <w:pStyle w:val="FAM-Bullet-2"/>
        <w:numPr>
          <w:ilvl w:val="0"/>
          <w:numId w:val="0"/>
        </w:numPr>
        <w:ind w:left="1800"/>
        <w:rPr>
          <w:rFonts w:ascii="Arial" w:hAnsi="Arial" w:cs="Arial"/>
          <w:sz w:val="22"/>
        </w:rPr>
      </w:pPr>
    </w:p>
    <w:p w14:paraId="428361FF" w14:textId="79FF9182" w:rsidR="00286BE9" w:rsidRPr="000A7FD1" w:rsidRDefault="00286BE9" w:rsidP="00933216">
      <w:pPr>
        <w:sectPr w:rsidR="00286BE9" w:rsidRPr="000A7FD1" w:rsidSect="00666BFE">
          <w:headerReference w:type="default" r:id="rId63"/>
          <w:footerReference w:type="default" r:id="rId64"/>
          <w:endnotePr>
            <w:numFmt w:val="decimal"/>
          </w:endnotePr>
          <w:pgSz w:w="12240" w:h="15840"/>
          <w:pgMar w:top="1080" w:right="1440" w:bottom="1080" w:left="1080" w:header="720" w:footer="720" w:gutter="360"/>
          <w:pgNumType w:start="1"/>
          <w:cols w:space="720"/>
          <w:noEndnote/>
          <w:docGrid w:linePitch="326"/>
        </w:sectPr>
      </w:pPr>
    </w:p>
    <w:p w14:paraId="45534442" w14:textId="77777777" w:rsidR="001E0A70" w:rsidRPr="000A7FD1" w:rsidRDefault="008A7C38" w:rsidP="00713125">
      <w:pPr>
        <w:pStyle w:val="Heading2FAM"/>
      </w:pPr>
      <w:r w:rsidRPr="000A7FD1">
        <w:lastRenderedPageBreak/>
        <w:t>395 G</w:t>
      </w:r>
      <w:r w:rsidR="001E0A70" w:rsidRPr="000A7FD1">
        <w:t xml:space="preserve"> </w:t>
      </w:r>
      <w:r w:rsidR="004C25AA" w:rsidRPr="000A7FD1">
        <w:t>–</w:t>
      </w:r>
      <w:r w:rsidR="001E0A70" w:rsidRPr="000A7FD1">
        <w:t xml:space="preserve"> Specific Control Evaluation Worksheet</w:t>
      </w:r>
    </w:p>
    <w:p w14:paraId="4839BECE" w14:textId="59CF0997" w:rsidR="00013E6A" w:rsidRPr="000A7FD1" w:rsidRDefault="00013E6A" w:rsidP="00013E6A">
      <w:pPr>
        <w:pStyle w:val="FAM-Subsection"/>
        <w:numPr>
          <w:ilvl w:val="0"/>
          <w:numId w:val="19"/>
        </w:numPr>
      </w:pPr>
      <w:r w:rsidRPr="000A7FD1">
        <w:t xml:space="preserve">For each identified risk of material misstatement at the assertion level (identified risk) for which inherent risk is more than remote, </w:t>
      </w:r>
      <w:r w:rsidR="00C1798D" w:rsidRPr="000A7FD1">
        <w:t>for</w:t>
      </w:r>
      <w:r w:rsidRPr="000A7FD1">
        <w:t xml:space="preserve"> each material line item, account, note disclosure, and class of transactions, the auditor should use the SCE worksheet or equivalent to document the assessment of control risk. When preparing the LIRA </w:t>
      </w:r>
      <w:r w:rsidR="00FE2CD8" w:rsidRPr="000A7FD1">
        <w:t xml:space="preserve">form </w:t>
      </w:r>
      <w:r w:rsidRPr="000A7FD1">
        <w:t xml:space="preserve">at FAM 395 H or equivalent, the auditor will use this assessment of control risk, along with the assessment of inherent risk, to assess the risk of material misstatement, which provides an appropriate basis for the design of further audit procedures. </w:t>
      </w:r>
    </w:p>
    <w:p w14:paraId="6A59B741" w14:textId="615147D5" w:rsidR="00013E6A" w:rsidRPr="000A7FD1" w:rsidRDefault="00013E6A" w:rsidP="00013E6A">
      <w:pPr>
        <w:pStyle w:val="FAMSubsection"/>
        <w:rPr>
          <w:szCs w:val="22"/>
        </w:rPr>
      </w:pPr>
      <w:r w:rsidRPr="000A7FD1">
        <w:t xml:space="preserve">For each identified risk for which inherent risk is more than remote, </w:t>
      </w:r>
      <w:r w:rsidRPr="000A7FD1">
        <w:rPr>
          <w:szCs w:val="22"/>
        </w:rPr>
        <w:t xml:space="preserve">the SCE </w:t>
      </w:r>
      <w:r w:rsidR="00FE2CD8" w:rsidRPr="000A7FD1">
        <w:rPr>
          <w:szCs w:val="22"/>
        </w:rPr>
        <w:t xml:space="preserve">worksheet </w:t>
      </w:r>
      <w:r w:rsidRPr="000A7FD1">
        <w:rPr>
          <w:szCs w:val="22"/>
        </w:rPr>
        <w:t>or equivalent should include the following information:</w:t>
      </w:r>
    </w:p>
    <w:p w14:paraId="0ED83153" w14:textId="76AFD4F9" w:rsidR="00013E6A" w:rsidRPr="000A7FD1" w:rsidRDefault="00013E6A" w:rsidP="00013E6A">
      <w:pPr>
        <w:pStyle w:val="FAM-Subsection"/>
        <w:numPr>
          <w:ilvl w:val="1"/>
          <w:numId w:val="1"/>
        </w:numPr>
        <w:tabs>
          <w:tab w:val="clear" w:pos="1440"/>
          <w:tab w:val="num" w:pos="1980"/>
        </w:tabs>
        <w:ind w:left="1800"/>
      </w:pPr>
      <w:r w:rsidRPr="000A7FD1">
        <w:t>control objectives that address the risk</w:t>
      </w:r>
      <w:r w:rsidR="004763E4" w:rsidRPr="000A7FD1">
        <w:t>;</w:t>
      </w:r>
    </w:p>
    <w:p w14:paraId="16E90888" w14:textId="528A3C9B" w:rsidR="00013E6A" w:rsidRPr="000A7FD1" w:rsidRDefault="00013E6A" w:rsidP="00013E6A">
      <w:pPr>
        <w:pStyle w:val="FAM-Subsection"/>
        <w:numPr>
          <w:ilvl w:val="1"/>
          <w:numId w:val="1"/>
        </w:numPr>
        <w:tabs>
          <w:tab w:val="clear" w:pos="1440"/>
          <w:tab w:val="num" w:pos="1980"/>
        </w:tabs>
        <w:ind w:left="1800"/>
      </w:pPr>
      <w:r w:rsidRPr="000A7FD1">
        <w:t>evaluation of the design, implementation, and operating effectiveness of the relevant control activities necessary to achieve each control objective</w:t>
      </w:r>
      <w:r w:rsidR="004763E4" w:rsidRPr="000A7FD1">
        <w:t xml:space="preserve">; </w:t>
      </w:r>
      <w:r w:rsidRPr="000A7FD1">
        <w:t>and</w:t>
      </w:r>
    </w:p>
    <w:p w14:paraId="04F918E9" w14:textId="77777777" w:rsidR="00013E6A" w:rsidRPr="000A7FD1" w:rsidRDefault="00013E6A" w:rsidP="00013E6A">
      <w:pPr>
        <w:pStyle w:val="FAM-Subsection"/>
        <w:numPr>
          <w:ilvl w:val="1"/>
          <w:numId w:val="1"/>
        </w:numPr>
        <w:tabs>
          <w:tab w:val="clear" w:pos="1440"/>
          <w:tab w:val="num" w:pos="1980"/>
        </w:tabs>
        <w:ind w:left="1800"/>
      </w:pPr>
      <w:r w:rsidRPr="000A7FD1">
        <w:t xml:space="preserve">assessment of control risk. </w:t>
      </w:r>
    </w:p>
    <w:p w14:paraId="633D4B67" w14:textId="75C3C367" w:rsidR="00013E6A" w:rsidRPr="000A7FD1" w:rsidRDefault="00013E6A" w:rsidP="00013E6A">
      <w:pPr>
        <w:pStyle w:val="FAMSubsection"/>
        <w:rPr>
          <w:szCs w:val="22"/>
        </w:rPr>
      </w:pPr>
      <w:r w:rsidRPr="000A7FD1">
        <w:t xml:space="preserve">As discussed in FAM 330, each line item, account, and note disclosure is affected by input from one or more classes of transactions. As such, the risks that affect a class of transactions will also affect the related line items, accounts, and note disclosures. To avoid duplication in documentation, the auditor may use one </w:t>
      </w:r>
      <w:bookmarkStart w:id="3" w:name="_Hlk167776012"/>
      <w:r w:rsidRPr="000A7FD1">
        <w:t xml:space="preserve">SCE worksheet to document the control risk assessment for a material class of transactions </w:t>
      </w:r>
      <w:bookmarkStart w:id="4" w:name="_Hlk167776053"/>
      <w:bookmarkEnd w:id="3"/>
      <w:r w:rsidRPr="000A7FD1">
        <w:t>and all the material line items, accounts, and note disclosures it affects.</w:t>
      </w:r>
      <w:bookmarkEnd w:id="4"/>
      <w:r w:rsidRPr="000A7FD1">
        <w:t xml:space="preserve"> If a class of transactions, such as journal vouchers, is not directly related to a specific line item, account, or note disclosure, the auditor may prepare an SCE </w:t>
      </w:r>
      <w:r w:rsidR="00FE2CD8" w:rsidRPr="000A7FD1">
        <w:t xml:space="preserve">worksheet </w:t>
      </w:r>
      <w:r w:rsidRPr="000A7FD1">
        <w:t>for that class of transactions only.</w:t>
      </w:r>
    </w:p>
    <w:p w14:paraId="4182A76D" w14:textId="14E842EA" w:rsidR="00013E6A" w:rsidRPr="000A7FD1" w:rsidRDefault="00013E6A" w:rsidP="00013E6A">
      <w:pPr>
        <w:pStyle w:val="FAMSubsection"/>
        <w:rPr>
          <w:szCs w:val="22"/>
        </w:rPr>
      </w:pPr>
      <w:r w:rsidRPr="000A7FD1">
        <w:rPr>
          <w:szCs w:val="22"/>
        </w:rPr>
        <w:t xml:space="preserve">The </w:t>
      </w:r>
      <w:r w:rsidR="00662923" w:rsidRPr="000A7FD1">
        <w:rPr>
          <w:szCs w:val="22"/>
        </w:rPr>
        <w:t xml:space="preserve">auditor may prepare the SCE </w:t>
      </w:r>
      <w:r w:rsidRPr="000A7FD1">
        <w:rPr>
          <w:szCs w:val="22"/>
        </w:rPr>
        <w:t>worksheet as follows:</w:t>
      </w:r>
      <w:r w:rsidRPr="000A7FD1">
        <w:rPr>
          <w:rStyle w:val="FootnoteReference"/>
        </w:rPr>
        <w:t xml:space="preserve"> </w:t>
      </w:r>
    </w:p>
    <w:p w14:paraId="655EC2E6" w14:textId="2C47E7A9" w:rsidR="00662923" w:rsidRPr="000A7FD1" w:rsidRDefault="00662923" w:rsidP="00013E6A">
      <w:pPr>
        <w:pStyle w:val="FAM-Num-1"/>
        <w:numPr>
          <w:ilvl w:val="0"/>
          <w:numId w:val="8"/>
        </w:numPr>
        <w:tabs>
          <w:tab w:val="clear" w:pos="2160"/>
          <w:tab w:val="num" w:pos="1800"/>
        </w:tabs>
        <w:ind w:left="1800"/>
        <w:rPr>
          <w:rFonts w:ascii="Arial" w:hAnsi="Arial" w:cs="Arial"/>
          <w:sz w:val="22"/>
        </w:rPr>
      </w:pPr>
      <w:r w:rsidRPr="000A7FD1">
        <w:rPr>
          <w:rFonts w:ascii="Arial" w:hAnsi="Arial" w:cs="Arial"/>
          <w:sz w:val="22"/>
        </w:rPr>
        <w:t xml:space="preserve">In the header, identify the material class of transactions. If the SCE worksheet covers multiple classes of transactions, such as those within a cycle, list all the classes of transactions. The auditor will list the related line items in column 3, as explained below. </w:t>
      </w:r>
    </w:p>
    <w:p w14:paraId="4C5DE7D9" w14:textId="5453F171" w:rsidR="00013E6A" w:rsidRPr="000A7FD1" w:rsidRDefault="00013E6A" w:rsidP="00013E6A">
      <w:pPr>
        <w:pStyle w:val="FAM-Num-1"/>
        <w:numPr>
          <w:ilvl w:val="0"/>
          <w:numId w:val="8"/>
        </w:numPr>
        <w:tabs>
          <w:tab w:val="clear" w:pos="2160"/>
          <w:tab w:val="num" w:pos="1800"/>
        </w:tabs>
        <w:ind w:left="1800"/>
        <w:rPr>
          <w:rFonts w:ascii="Arial" w:hAnsi="Arial" w:cs="Arial"/>
          <w:sz w:val="22"/>
        </w:rPr>
      </w:pPr>
      <w:r w:rsidRPr="000A7FD1">
        <w:rPr>
          <w:rFonts w:ascii="Arial" w:hAnsi="Arial" w:cs="Arial"/>
          <w:sz w:val="22"/>
        </w:rPr>
        <w:t>In column 1, list each assertion that is applicable to the class of transactions and all the material line items, accounts, and note disclosures it affects</w:t>
      </w:r>
      <w:r w:rsidR="004763E4" w:rsidRPr="000A7FD1">
        <w:rPr>
          <w:rFonts w:ascii="Arial" w:hAnsi="Arial" w:cs="Arial"/>
          <w:sz w:val="22"/>
        </w:rPr>
        <w:t>. The auditor obtains this information</w:t>
      </w:r>
      <w:r w:rsidRPr="000A7FD1">
        <w:rPr>
          <w:rFonts w:ascii="Arial" w:hAnsi="Arial" w:cs="Arial"/>
          <w:sz w:val="22"/>
        </w:rPr>
        <w:t xml:space="preserve"> from the LIRA</w:t>
      </w:r>
      <w:r w:rsidR="00FE2CD8" w:rsidRPr="000A7FD1">
        <w:rPr>
          <w:rFonts w:ascii="Arial" w:hAnsi="Arial" w:cs="Arial"/>
          <w:sz w:val="22"/>
        </w:rPr>
        <w:t xml:space="preserve"> form</w:t>
      </w:r>
      <w:r w:rsidRPr="000A7FD1">
        <w:rPr>
          <w:rFonts w:ascii="Arial" w:hAnsi="Arial" w:cs="Arial"/>
          <w:sz w:val="22"/>
        </w:rPr>
        <w:t>(s) or equivalent for the class of transactions</w:t>
      </w:r>
      <w:r w:rsidR="00397835" w:rsidRPr="000A7FD1">
        <w:rPr>
          <w:rFonts w:ascii="Arial" w:hAnsi="Arial" w:cs="Arial"/>
          <w:sz w:val="22"/>
        </w:rPr>
        <w:t xml:space="preserve"> (see FAM 395 H)</w:t>
      </w:r>
      <w:r w:rsidRPr="000A7FD1">
        <w:rPr>
          <w:rFonts w:ascii="Arial" w:hAnsi="Arial" w:cs="Arial"/>
          <w:sz w:val="22"/>
        </w:rPr>
        <w:t xml:space="preserve">. </w:t>
      </w:r>
      <w:r w:rsidRPr="000A7FD1">
        <w:rPr>
          <w:rStyle w:val="CommentReference"/>
          <w:rFonts w:ascii="Arial" w:hAnsi="Arial"/>
          <w:bCs w:val="0"/>
          <w:color w:val="auto"/>
          <w:sz w:val="22"/>
          <w:szCs w:val="22"/>
        </w:rPr>
        <w:t xml:space="preserve">If an assertion is not applicable, the auditor does not need to list it in column 1. </w:t>
      </w:r>
      <w:r w:rsidRPr="000A7FD1">
        <w:rPr>
          <w:rFonts w:ascii="Arial" w:hAnsi="Arial" w:cs="Arial"/>
          <w:sz w:val="22"/>
        </w:rPr>
        <w:t xml:space="preserve">While all five assertions described in FAM 235 are applicable to line item/account-related classes of transactions that support balances that exist at period-end (e.g., asset, liability, net position, or budgetary balances), only the existence or occurrence; completeness; accuracy, valuation, and allocation; and presentation and disclosure assertions are applicable to transaction-related classes of transactions (e.g., billing, purchasing, cash receipts, and cash disbursements), as illustrated in FAM 395 B. </w:t>
      </w:r>
    </w:p>
    <w:p w14:paraId="416A4200" w14:textId="1BD708F1" w:rsidR="00EE0568" w:rsidRPr="000A7FD1" w:rsidRDefault="00013E6A" w:rsidP="00013E6A">
      <w:pPr>
        <w:pStyle w:val="FAM-Num-1"/>
        <w:numPr>
          <w:ilvl w:val="0"/>
          <w:numId w:val="8"/>
        </w:numPr>
        <w:tabs>
          <w:tab w:val="clear" w:pos="2160"/>
          <w:tab w:val="num" w:pos="1800"/>
        </w:tabs>
        <w:ind w:left="1800"/>
        <w:rPr>
          <w:rFonts w:ascii="Arial" w:hAnsi="Arial" w:cs="Arial"/>
          <w:sz w:val="22"/>
        </w:rPr>
      </w:pPr>
      <w:r w:rsidRPr="000A7FD1">
        <w:rPr>
          <w:rFonts w:ascii="Arial" w:hAnsi="Arial" w:cs="Arial"/>
          <w:sz w:val="22"/>
        </w:rPr>
        <w:t>In columns 2 and 3, for each assertion</w:t>
      </w:r>
      <w:r w:rsidR="00C87BE0" w:rsidRPr="000A7FD1">
        <w:rPr>
          <w:rFonts w:ascii="Arial" w:hAnsi="Arial" w:cs="Arial"/>
          <w:sz w:val="22"/>
        </w:rPr>
        <w:t xml:space="preserve"> identified in column 1</w:t>
      </w:r>
      <w:r w:rsidRPr="000A7FD1">
        <w:rPr>
          <w:rFonts w:ascii="Arial" w:hAnsi="Arial" w:cs="Arial"/>
          <w:sz w:val="22"/>
        </w:rPr>
        <w:t>, list the material line items that the class of transactions affects</w:t>
      </w:r>
      <w:r w:rsidR="00FA37A0" w:rsidRPr="000A7FD1">
        <w:rPr>
          <w:rFonts w:ascii="Arial" w:hAnsi="Arial" w:cs="Arial"/>
          <w:sz w:val="22"/>
        </w:rPr>
        <w:t xml:space="preserve"> </w:t>
      </w:r>
      <w:r w:rsidRPr="000A7FD1">
        <w:rPr>
          <w:rFonts w:ascii="Arial" w:hAnsi="Arial" w:cs="Arial"/>
          <w:sz w:val="22"/>
        </w:rPr>
        <w:t>and the identified risk</w:t>
      </w:r>
      <w:r w:rsidR="00F34510" w:rsidRPr="000A7FD1">
        <w:rPr>
          <w:rFonts w:ascii="Arial" w:hAnsi="Arial" w:cs="Arial"/>
          <w:sz w:val="22"/>
        </w:rPr>
        <w:t>s,</w:t>
      </w:r>
      <w:r w:rsidRPr="000A7FD1">
        <w:rPr>
          <w:rFonts w:ascii="Arial" w:hAnsi="Arial" w:cs="Arial"/>
          <w:sz w:val="22"/>
        </w:rPr>
        <w:t xml:space="preserve"> which </w:t>
      </w:r>
      <w:r w:rsidR="00F34510" w:rsidRPr="000A7FD1">
        <w:rPr>
          <w:rFonts w:ascii="Arial" w:hAnsi="Arial" w:cs="Arial"/>
          <w:sz w:val="22"/>
        </w:rPr>
        <w:t xml:space="preserve">are </w:t>
      </w:r>
      <w:r w:rsidRPr="000A7FD1">
        <w:rPr>
          <w:rFonts w:ascii="Arial" w:hAnsi="Arial" w:cs="Arial"/>
          <w:sz w:val="22"/>
        </w:rPr>
        <w:t>obtained from the LIRA</w:t>
      </w:r>
      <w:r w:rsidR="00FE2CD8" w:rsidRPr="000A7FD1">
        <w:rPr>
          <w:rFonts w:ascii="Arial" w:hAnsi="Arial" w:cs="Arial"/>
          <w:sz w:val="22"/>
        </w:rPr>
        <w:t xml:space="preserve"> form</w:t>
      </w:r>
      <w:r w:rsidRPr="000A7FD1">
        <w:rPr>
          <w:rFonts w:ascii="Arial" w:hAnsi="Arial" w:cs="Arial"/>
          <w:sz w:val="22"/>
        </w:rPr>
        <w:t xml:space="preserve">(s) or equivalent (see FAM </w:t>
      </w:r>
      <w:r w:rsidR="00FA37A0" w:rsidRPr="000A7FD1">
        <w:rPr>
          <w:rFonts w:ascii="Arial" w:hAnsi="Arial" w:cs="Arial"/>
          <w:sz w:val="22"/>
        </w:rPr>
        <w:t>395 H</w:t>
      </w:r>
      <w:r w:rsidRPr="000A7FD1">
        <w:rPr>
          <w:rFonts w:ascii="Arial" w:hAnsi="Arial" w:cs="Arial"/>
          <w:sz w:val="22"/>
        </w:rPr>
        <w:t xml:space="preserve">). For example, identified risks for the cash receipts class of transactions would </w:t>
      </w:r>
      <w:r w:rsidRPr="000A7FD1">
        <w:rPr>
          <w:rFonts w:ascii="Arial" w:hAnsi="Arial" w:cs="Arial"/>
          <w:sz w:val="22"/>
        </w:rPr>
        <w:lastRenderedPageBreak/>
        <w:t>typically be documented in the cash, accounts receivable, and revenue LIRA</w:t>
      </w:r>
      <w:r w:rsidR="00FE2CD8" w:rsidRPr="000A7FD1">
        <w:rPr>
          <w:rFonts w:ascii="Arial" w:hAnsi="Arial" w:cs="Arial"/>
          <w:sz w:val="22"/>
        </w:rPr>
        <w:t xml:space="preserve"> form</w:t>
      </w:r>
      <w:r w:rsidRPr="000A7FD1">
        <w:rPr>
          <w:rFonts w:ascii="Arial" w:hAnsi="Arial" w:cs="Arial"/>
          <w:sz w:val="22"/>
        </w:rPr>
        <w:t>s (see FAM 395</w:t>
      </w:r>
      <w:r w:rsidR="0061687F" w:rsidRPr="000A7FD1">
        <w:rPr>
          <w:rFonts w:ascii="Arial" w:hAnsi="Arial" w:cs="Arial"/>
          <w:sz w:val="22"/>
        </w:rPr>
        <w:t xml:space="preserve"> </w:t>
      </w:r>
      <w:r w:rsidRPr="000A7FD1">
        <w:rPr>
          <w:rFonts w:ascii="Arial" w:hAnsi="Arial" w:cs="Arial"/>
          <w:sz w:val="22"/>
        </w:rPr>
        <w:t xml:space="preserve">A for typical relationships of classes of transactions to line items or accounts). </w:t>
      </w:r>
    </w:p>
    <w:p w14:paraId="49945536" w14:textId="518F9C11" w:rsidR="00013E6A" w:rsidRPr="000A7FD1" w:rsidRDefault="00F34510" w:rsidP="00EE0568">
      <w:pPr>
        <w:pStyle w:val="FAM-Num-1"/>
        <w:ind w:left="1800"/>
        <w:rPr>
          <w:rFonts w:ascii="Arial" w:hAnsi="Arial" w:cs="Arial"/>
          <w:sz w:val="22"/>
        </w:rPr>
      </w:pPr>
      <w:r w:rsidRPr="000A7FD1">
        <w:rPr>
          <w:rFonts w:ascii="Arial" w:hAnsi="Arial" w:cs="Arial"/>
          <w:sz w:val="22"/>
        </w:rPr>
        <w:t xml:space="preserve">Also indicate in column 3 the assertion affected for each line item listed and reference the LIRA </w:t>
      </w:r>
      <w:r w:rsidR="00FE2CD8" w:rsidRPr="000A7FD1">
        <w:rPr>
          <w:rFonts w:ascii="Arial" w:hAnsi="Arial" w:cs="Arial"/>
          <w:sz w:val="22"/>
        </w:rPr>
        <w:t xml:space="preserve">form </w:t>
      </w:r>
      <w:r w:rsidRPr="000A7FD1">
        <w:rPr>
          <w:rFonts w:ascii="Arial" w:hAnsi="Arial" w:cs="Arial"/>
          <w:sz w:val="22"/>
        </w:rPr>
        <w:t xml:space="preserve">that addresses it. For example, a misstatement in the occurrence assertion for </w:t>
      </w:r>
      <w:r w:rsidR="00A31A11" w:rsidRPr="000A7FD1">
        <w:rPr>
          <w:rFonts w:ascii="Arial" w:hAnsi="Arial" w:cs="Arial"/>
          <w:sz w:val="22"/>
        </w:rPr>
        <w:t xml:space="preserve">the </w:t>
      </w:r>
      <w:r w:rsidRPr="000A7FD1">
        <w:rPr>
          <w:rFonts w:ascii="Arial" w:hAnsi="Arial" w:cs="Arial"/>
          <w:sz w:val="22"/>
        </w:rPr>
        <w:t xml:space="preserve">cash receipts </w:t>
      </w:r>
      <w:r w:rsidR="00A31A11" w:rsidRPr="000A7FD1">
        <w:rPr>
          <w:rFonts w:ascii="Arial" w:hAnsi="Arial" w:cs="Arial"/>
          <w:sz w:val="22"/>
        </w:rPr>
        <w:t xml:space="preserve">class of transactions </w:t>
      </w:r>
      <w:r w:rsidRPr="000A7FD1">
        <w:rPr>
          <w:rFonts w:ascii="Arial" w:hAnsi="Arial" w:cs="Arial"/>
          <w:sz w:val="22"/>
        </w:rPr>
        <w:t>would affect the existence assertion for the cash line item</w:t>
      </w:r>
      <w:r w:rsidR="00EE0568" w:rsidRPr="000A7FD1">
        <w:rPr>
          <w:rFonts w:ascii="Arial" w:hAnsi="Arial" w:cs="Arial"/>
          <w:sz w:val="22"/>
        </w:rPr>
        <w:t>. It would also affect</w:t>
      </w:r>
      <w:r w:rsidRPr="000A7FD1">
        <w:rPr>
          <w:rFonts w:ascii="Arial" w:hAnsi="Arial" w:cs="Arial"/>
          <w:sz w:val="22"/>
        </w:rPr>
        <w:t xml:space="preserve"> the occurrence assertion for the revenue line item</w:t>
      </w:r>
      <w:r w:rsidR="00237A27" w:rsidRPr="000A7FD1">
        <w:rPr>
          <w:rFonts w:ascii="Arial" w:hAnsi="Arial" w:cs="Arial"/>
          <w:sz w:val="22"/>
        </w:rPr>
        <w:t xml:space="preserve"> or the completeness assertion for the accounts receivable line item</w:t>
      </w:r>
      <w:r w:rsidRPr="000A7FD1">
        <w:rPr>
          <w:rFonts w:ascii="Arial" w:hAnsi="Arial" w:cs="Arial"/>
          <w:sz w:val="22"/>
        </w:rPr>
        <w:t>.</w:t>
      </w:r>
      <w:r w:rsidR="00013E6A" w:rsidRPr="000A7FD1">
        <w:rPr>
          <w:rFonts w:ascii="Arial" w:hAnsi="Arial" w:cs="Arial"/>
          <w:sz w:val="22"/>
        </w:rPr>
        <w:t xml:space="preserve"> </w:t>
      </w:r>
    </w:p>
    <w:p w14:paraId="5A95C93D" w14:textId="74ADC525" w:rsidR="00013E6A" w:rsidRPr="000A7FD1" w:rsidRDefault="00013E6A" w:rsidP="00013E6A">
      <w:pPr>
        <w:pStyle w:val="FAM-Num-1"/>
        <w:numPr>
          <w:ilvl w:val="0"/>
          <w:numId w:val="8"/>
        </w:numPr>
        <w:tabs>
          <w:tab w:val="clear" w:pos="2160"/>
          <w:tab w:val="num" w:pos="1800"/>
        </w:tabs>
        <w:ind w:left="1800"/>
        <w:rPr>
          <w:rFonts w:ascii="Arial" w:hAnsi="Arial" w:cs="Arial"/>
          <w:sz w:val="22"/>
        </w:rPr>
      </w:pPr>
      <w:r w:rsidRPr="000A7FD1">
        <w:rPr>
          <w:rFonts w:ascii="Arial" w:hAnsi="Arial" w:cs="Arial"/>
          <w:sz w:val="22"/>
        </w:rPr>
        <w:t xml:space="preserve">In columns </w:t>
      </w:r>
      <w:r w:rsidR="00B014F0" w:rsidRPr="000A7FD1">
        <w:rPr>
          <w:rFonts w:ascii="Arial" w:hAnsi="Arial" w:cs="Arial"/>
          <w:sz w:val="22"/>
        </w:rPr>
        <w:t>4</w:t>
      </w:r>
      <w:r w:rsidRPr="000A7FD1">
        <w:rPr>
          <w:rFonts w:ascii="Arial" w:hAnsi="Arial" w:cs="Arial"/>
          <w:sz w:val="22"/>
        </w:rPr>
        <w:t xml:space="preserve"> and </w:t>
      </w:r>
      <w:r w:rsidR="00B014F0" w:rsidRPr="000A7FD1">
        <w:rPr>
          <w:rFonts w:ascii="Arial" w:hAnsi="Arial" w:cs="Arial"/>
          <w:sz w:val="22"/>
        </w:rPr>
        <w:t>5,</w:t>
      </w:r>
      <w:r w:rsidRPr="000A7FD1">
        <w:rPr>
          <w:rFonts w:ascii="Arial" w:hAnsi="Arial" w:cs="Arial"/>
          <w:sz w:val="22"/>
        </w:rPr>
        <w:t xml:space="preserve"> list the inherent risk assessment and significant risk determination for each identified risk</w:t>
      </w:r>
      <w:r w:rsidR="00EE0568" w:rsidRPr="000A7FD1">
        <w:rPr>
          <w:rFonts w:ascii="Arial" w:hAnsi="Arial" w:cs="Arial"/>
          <w:sz w:val="22"/>
        </w:rPr>
        <w:t>. The auditor obtains this information</w:t>
      </w:r>
      <w:r w:rsidRPr="000A7FD1">
        <w:rPr>
          <w:rFonts w:ascii="Arial" w:hAnsi="Arial" w:cs="Arial"/>
          <w:sz w:val="22"/>
        </w:rPr>
        <w:t xml:space="preserve"> from the LIRA</w:t>
      </w:r>
      <w:r w:rsidR="00FE2CD8" w:rsidRPr="000A7FD1">
        <w:rPr>
          <w:rFonts w:ascii="Arial" w:hAnsi="Arial" w:cs="Arial"/>
          <w:sz w:val="22"/>
        </w:rPr>
        <w:t xml:space="preserve"> form</w:t>
      </w:r>
      <w:r w:rsidRPr="000A7FD1">
        <w:rPr>
          <w:rFonts w:ascii="Arial" w:hAnsi="Arial" w:cs="Arial"/>
          <w:sz w:val="22"/>
        </w:rPr>
        <w:t>(s) or equivalent</w:t>
      </w:r>
      <w:r w:rsidR="009A7730" w:rsidRPr="000A7FD1">
        <w:rPr>
          <w:rFonts w:ascii="Arial" w:hAnsi="Arial" w:cs="Arial"/>
          <w:sz w:val="22"/>
        </w:rPr>
        <w:t xml:space="preserve"> (i.e., where the inherent risk assessment and significant risk determination are performed and documented)</w:t>
      </w:r>
      <w:r w:rsidRPr="000A7FD1">
        <w:rPr>
          <w:rFonts w:ascii="Arial" w:hAnsi="Arial" w:cs="Arial"/>
          <w:sz w:val="22"/>
        </w:rPr>
        <w:t xml:space="preserve">. </w:t>
      </w:r>
      <w:r w:rsidR="00B014F0" w:rsidRPr="000A7FD1">
        <w:rPr>
          <w:rFonts w:ascii="Arial" w:hAnsi="Arial" w:cs="Arial"/>
          <w:sz w:val="22"/>
        </w:rPr>
        <w:t xml:space="preserve">The auditor should consider this assessment and determination in </w:t>
      </w:r>
      <w:r w:rsidR="00FD7C00" w:rsidRPr="000A7FD1">
        <w:rPr>
          <w:rFonts w:ascii="Arial" w:hAnsi="Arial" w:cs="Arial"/>
          <w:sz w:val="22"/>
        </w:rPr>
        <w:t>identifying relevant</w:t>
      </w:r>
      <w:r w:rsidR="00B014F0" w:rsidRPr="000A7FD1">
        <w:rPr>
          <w:rFonts w:ascii="Arial" w:hAnsi="Arial" w:cs="Arial"/>
          <w:sz w:val="22"/>
        </w:rPr>
        <w:t xml:space="preserve"> control activities </w:t>
      </w:r>
      <w:r w:rsidR="00051B8A" w:rsidRPr="000A7FD1">
        <w:rPr>
          <w:rFonts w:ascii="Arial" w:hAnsi="Arial" w:cs="Arial"/>
          <w:sz w:val="22"/>
        </w:rPr>
        <w:t xml:space="preserve">in column </w:t>
      </w:r>
      <w:r w:rsidR="00FD7C00" w:rsidRPr="000A7FD1">
        <w:rPr>
          <w:rFonts w:ascii="Arial" w:hAnsi="Arial" w:cs="Arial"/>
          <w:sz w:val="22"/>
        </w:rPr>
        <w:t>7</w:t>
      </w:r>
      <w:r w:rsidR="00B014F0" w:rsidRPr="000A7FD1">
        <w:rPr>
          <w:rFonts w:ascii="Arial" w:hAnsi="Arial" w:cs="Arial"/>
          <w:sz w:val="22"/>
        </w:rPr>
        <w:t xml:space="preserve"> </w:t>
      </w:r>
      <w:r w:rsidR="00FD7C00" w:rsidRPr="000A7FD1">
        <w:rPr>
          <w:rFonts w:ascii="Arial" w:hAnsi="Arial" w:cs="Arial"/>
          <w:sz w:val="22"/>
        </w:rPr>
        <w:t>(s</w:t>
      </w:r>
      <w:r w:rsidR="00D976EF" w:rsidRPr="000A7FD1">
        <w:rPr>
          <w:rFonts w:ascii="Arial" w:hAnsi="Arial" w:cs="Arial"/>
          <w:sz w:val="22"/>
        </w:rPr>
        <w:t>ee FAM 350.0</w:t>
      </w:r>
      <w:r w:rsidR="000D1813" w:rsidRPr="000A7FD1">
        <w:rPr>
          <w:rFonts w:ascii="Arial" w:hAnsi="Arial" w:cs="Arial"/>
          <w:sz w:val="22"/>
        </w:rPr>
        <w:t>5</w:t>
      </w:r>
      <w:r w:rsidR="00FD7C00" w:rsidRPr="000A7FD1">
        <w:rPr>
          <w:rFonts w:ascii="Arial" w:hAnsi="Arial" w:cs="Arial"/>
          <w:sz w:val="22"/>
        </w:rPr>
        <w:t>)</w:t>
      </w:r>
      <w:r w:rsidR="00D976EF" w:rsidRPr="000A7FD1">
        <w:rPr>
          <w:rFonts w:ascii="Arial" w:hAnsi="Arial" w:cs="Arial"/>
          <w:sz w:val="22"/>
        </w:rPr>
        <w:t>.</w:t>
      </w:r>
    </w:p>
    <w:p w14:paraId="511DB214" w14:textId="49710950" w:rsidR="00A14418" w:rsidRPr="000A7FD1" w:rsidRDefault="00013E6A" w:rsidP="002C3978">
      <w:pPr>
        <w:pStyle w:val="FAM-Bullet-1"/>
        <w:ind w:left="1440"/>
      </w:pPr>
      <w:r w:rsidRPr="000A7FD1">
        <w:t xml:space="preserve">The following columns should be completed for each identified risk </w:t>
      </w:r>
      <w:r w:rsidR="00A14418" w:rsidRPr="000A7FD1">
        <w:t>for which inherent risk is more than remote</w:t>
      </w:r>
      <w:r w:rsidRPr="000A7FD1">
        <w:t>.</w:t>
      </w:r>
      <w:r w:rsidR="00A14418" w:rsidRPr="000A7FD1">
        <w:t xml:space="preserve"> If inherent risk is remote, enter N/A for columns 6 through 14. As discussed in FAM 310.09, in rare circumstances in which the auditor assessed all identified risks at remote for a material line item, account, note disclosure, or class of transactions, the auditor should perform control tests, as appropriate, if the auditor is providing an opinion on internal control.</w:t>
      </w:r>
    </w:p>
    <w:p w14:paraId="644D4B2F" w14:textId="107F190F" w:rsidR="00013E6A" w:rsidRPr="000A7FD1" w:rsidRDefault="00013E6A" w:rsidP="00013E6A">
      <w:pPr>
        <w:pStyle w:val="FAM-Num-1"/>
        <w:numPr>
          <w:ilvl w:val="0"/>
          <w:numId w:val="8"/>
        </w:numPr>
        <w:tabs>
          <w:tab w:val="clear" w:pos="2160"/>
          <w:tab w:val="num" w:pos="1800"/>
        </w:tabs>
        <w:ind w:left="1800"/>
        <w:rPr>
          <w:rFonts w:ascii="Arial" w:hAnsi="Arial" w:cs="Arial"/>
          <w:sz w:val="22"/>
        </w:rPr>
      </w:pPr>
      <w:r w:rsidRPr="000A7FD1">
        <w:rPr>
          <w:rFonts w:ascii="Arial" w:hAnsi="Arial" w:cs="Arial"/>
          <w:sz w:val="22"/>
        </w:rPr>
        <w:t xml:space="preserve">In column </w:t>
      </w:r>
      <w:r w:rsidR="00237A27" w:rsidRPr="000A7FD1">
        <w:rPr>
          <w:rFonts w:ascii="Arial" w:hAnsi="Arial" w:cs="Arial"/>
          <w:sz w:val="22"/>
        </w:rPr>
        <w:t>6</w:t>
      </w:r>
      <w:r w:rsidRPr="000A7FD1">
        <w:rPr>
          <w:rFonts w:ascii="Arial" w:hAnsi="Arial" w:cs="Arial"/>
          <w:sz w:val="22"/>
        </w:rPr>
        <w:t xml:space="preserve">, identify the related internal control objectives for each identified risk. See FAM 330 </w:t>
      </w:r>
      <w:r w:rsidR="00176808" w:rsidRPr="000A7FD1">
        <w:rPr>
          <w:rFonts w:ascii="Arial" w:hAnsi="Arial" w:cs="Arial"/>
          <w:sz w:val="22"/>
        </w:rPr>
        <w:t xml:space="preserve">and 395 B </w:t>
      </w:r>
      <w:r w:rsidRPr="000A7FD1">
        <w:rPr>
          <w:rFonts w:ascii="Arial" w:hAnsi="Arial" w:cs="Arial"/>
          <w:sz w:val="22"/>
        </w:rPr>
        <w:t>for guidance on identifying control objectives.</w:t>
      </w:r>
    </w:p>
    <w:p w14:paraId="2E2AB8D5" w14:textId="76F10380" w:rsidR="00013E6A" w:rsidRPr="000A7FD1" w:rsidRDefault="00013E6A" w:rsidP="00013E6A">
      <w:pPr>
        <w:pStyle w:val="FAM-Num-1"/>
        <w:numPr>
          <w:ilvl w:val="0"/>
          <w:numId w:val="8"/>
        </w:numPr>
        <w:tabs>
          <w:tab w:val="clear" w:pos="2160"/>
          <w:tab w:val="num" w:pos="1800"/>
        </w:tabs>
        <w:ind w:left="1800"/>
        <w:rPr>
          <w:rFonts w:ascii="Arial" w:hAnsi="Arial" w:cs="Arial"/>
          <w:sz w:val="22"/>
        </w:rPr>
      </w:pPr>
      <w:r w:rsidRPr="000A7FD1">
        <w:rPr>
          <w:rFonts w:ascii="Arial" w:hAnsi="Arial" w:cs="Arial"/>
          <w:sz w:val="22"/>
        </w:rPr>
        <w:t xml:space="preserve">In column </w:t>
      </w:r>
      <w:r w:rsidR="00237A27" w:rsidRPr="000A7FD1">
        <w:rPr>
          <w:rFonts w:ascii="Arial" w:hAnsi="Arial" w:cs="Arial"/>
          <w:sz w:val="22"/>
        </w:rPr>
        <w:t>7</w:t>
      </w:r>
      <w:r w:rsidRPr="000A7FD1">
        <w:rPr>
          <w:rFonts w:ascii="Arial" w:hAnsi="Arial" w:cs="Arial"/>
          <w:sz w:val="22"/>
        </w:rPr>
        <w:t>, list internal control activities selected for testing that achieve each internal control objective identified</w:t>
      </w:r>
      <w:r w:rsidR="009A2428" w:rsidRPr="000A7FD1">
        <w:rPr>
          <w:rFonts w:ascii="Arial" w:hAnsi="Arial" w:cs="Arial"/>
          <w:sz w:val="22"/>
        </w:rPr>
        <w:t xml:space="preserve"> (</w:t>
      </w:r>
      <w:r w:rsidR="0062754B" w:rsidRPr="000A7FD1">
        <w:rPr>
          <w:rFonts w:ascii="Arial" w:hAnsi="Arial" w:cs="Arial"/>
          <w:sz w:val="22"/>
        </w:rPr>
        <w:t xml:space="preserve">i.e., </w:t>
      </w:r>
      <w:r w:rsidR="009A2428" w:rsidRPr="000A7FD1">
        <w:rPr>
          <w:rFonts w:ascii="Arial" w:hAnsi="Arial" w:cs="Arial"/>
          <w:sz w:val="22"/>
        </w:rPr>
        <w:t>relevant control</w:t>
      </w:r>
      <w:r w:rsidR="00582017" w:rsidRPr="000A7FD1">
        <w:rPr>
          <w:rFonts w:ascii="Arial" w:hAnsi="Arial" w:cs="Arial"/>
          <w:sz w:val="22"/>
        </w:rPr>
        <w:t xml:space="preserve"> activities</w:t>
      </w:r>
      <w:r w:rsidR="009A2428" w:rsidRPr="000A7FD1">
        <w:rPr>
          <w:rFonts w:ascii="Arial" w:hAnsi="Arial" w:cs="Arial"/>
          <w:sz w:val="22"/>
        </w:rPr>
        <w:t>)</w:t>
      </w:r>
      <w:r w:rsidRPr="000A7FD1">
        <w:rPr>
          <w:rFonts w:ascii="Arial" w:hAnsi="Arial" w:cs="Arial"/>
          <w:sz w:val="22"/>
        </w:rPr>
        <w:t xml:space="preserve">. </w:t>
      </w:r>
      <w:r w:rsidR="00AF0EAF" w:rsidRPr="000A7FD1">
        <w:rPr>
          <w:rFonts w:ascii="Arial" w:hAnsi="Arial" w:cs="Arial"/>
          <w:sz w:val="22"/>
        </w:rPr>
        <w:t>In the FAM, control activities include</w:t>
      </w:r>
      <w:r w:rsidR="0002706C" w:rsidRPr="000A7FD1">
        <w:rPr>
          <w:rFonts w:ascii="Arial" w:hAnsi="Arial" w:cs="Arial"/>
          <w:sz w:val="22"/>
        </w:rPr>
        <w:t xml:space="preserve"> controls in the control environment, entity risk assessment, information and communication, and monitoring components that directly address risks of material misstatement at the assertion level</w:t>
      </w:r>
      <w:r w:rsidR="00AF0EAF" w:rsidRPr="000A7FD1">
        <w:rPr>
          <w:rFonts w:ascii="Arial" w:hAnsi="Arial" w:cs="Arial"/>
          <w:sz w:val="22"/>
        </w:rPr>
        <w:t xml:space="preserve"> (see FAM 360.19)</w:t>
      </w:r>
      <w:r w:rsidR="0002706C" w:rsidRPr="000A7FD1">
        <w:rPr>
          <w:rFonts w:ascii="Arial" w:hAnsi="Arial" w:cs="Arial"/>
          <w:sz w:val="22"/>
        </w:rPr>
        <w:t xml:space="preserve">. </w:t>
      </w:r>
      <w:r w:rsidRPr="000A7FD1">
        <w:rPr>
          <w:rFonts w:ascii="Arial" w:hAnsi="Arial" w:cs="Arial"/>
          <w:sz w:val="22"/>
        </w:rPr>
        <w:t>FAM 395 C illustrates typical control activities to achieve financial reporting control objectives.</w:t>
      </w:r>
      <w:r w:rsidRPr="000A7FD1">
        <w:rPr>
          <w:rFonts w:ascii="Arial" w:hAnsi="Arial" w:cs="Arial"/>
          <w:sz w:val="22"/>
          <w:vertAlign w:val="superscript"/>
        </w:rPr>
        <w:footnoteReference w:id="22"/>
      </w:r>
      <w:r w:rsidR="0002706C" w:rsidRPr="000A7FD1">
        <w:rPr>
          <w:rFonts w:ascii="Arial" w:hAnsi="Arial" w:cs="Arial"/>
          <w:sz w:val="22"/>
        </w:rPr>
        <w:t xml:space="preserve"> </w:t>
      </w:r>
    </w:p>
    <w:p w14:paraId="2B286388" w14:textId="17204867" w:rsidR="00EE0568" w:rsidRPr="000A7FD1" w:rsidRDefault="00013E6A" w:rsidP="00013E6A">
      <w:pPr>
        <w:pStyle w:val="FAM-Num-1"/>
        <w:numPr>
          <w:ilvl w:val="0"/>
          <w:numId w:val="8"/>
        </w:numPr>
        <w:tabs>
          <w:tab w:val="clear" w:pos="2160"/>
          <w:tab w:val="num" w:pos="1800"/>
        </w:tabs>
        <w:ind w:left="1800"/>
        <w:rPr>
          <w:rFonts w:ascii="Arial" w:hAnsi="Arial" w:cs="Arial"/>
          <w:sz w:val="22"/>
        </w:rPr>
      </w:pPr>
      <w:r w:rsidRPr="000A7FD1">
        <w:rPr>
          <w:rFonts w:ascii="Arial" w:hAnsi="Arial" w:cs="Arial"/>
          <w:sz w:val="22"/>
        </w:rPr>
        <w:t xml:space="preserve">In column </w:t>
      </w:r>
      <w:r w:rsidR="00237A27" w:rsidRPr="000A7FD1">
        <w:rPr>
          <w:rFonts w:ascii="Arial" w:hAnsi="Arial" w:cs="Arial"/>
          <w:sz w:val="22"/>
        </w:rPr>
        <w:t>8</w:t>
      </w:r>
      <w:r w:rsidRPr="000A7FD1">
        <w:rPr>
          <w:rFonts w:ascii="Arial" w:hAnsi="Arial" w:cs="Arial"/>
          <w:sz w:val="22"/>
        </w:rPr>
        <w:t>, indicate whether each control activity is either (a) an IS control, (b) a manual control, or (c) both an IS control and a manual control. As noted in FAM 350.</w:t>
      </w:r>
      <w:r w:rsidR="007061C1" w:rsidRPr="000A7FD1">
        <w:rPr>
          <w:rFonts w:ascii="Arial" w:hAnsi="Arial" w:cs="Arial"/>
          <w:sz w:val="22"/>
        </w:rPr>
        <w:t>11</w:t>
      </w:r>
      <w:r w:rsidRPr="000A7FD1">
        <w:rPr>
          <w:rFonts w:ascii="Arial" w:hAnsi="Arial" w:cs="Arial"/>
          <w:sz w:val="22"/>
        </w:rPr>
        <w:t xml:space="preserve">, the auditor generally should obtain concurrence from an IS controls auditor on the auditor’s identification of IS controls. IS controls </w:t>
      </w:r>
      <w:proofErr w:type="gramStart"/>
      <w:r w:rsidRPr="000A7FD1">
        <w:rPr>
          <w:rFonts w:ascii="Arial" w:hAnsi="Arial" w:cs="Arial"/>
          <w:sz w:val="22"/>
        </w:rPr>
        <w:t>consist</w:t>
      </w:r>
      <w:proofErr w:type="gramEnd"/>
      <w:r w:rsidRPr="000A7FD1">
        <w:rPr>
          <w:rFonts w:ascii="Arial" w:hAnsi="Arial" w:cs="Arial"/>
          <w:sz w:val="22"/>
        </w:rPr>
        <w:t xml:space="preserve"> of those internal controls that depend on information system processing and include general controls, application controls, and user controls. </w:t>
      </w:r>
    </w:p>
    <w:p w14:paraId="380191D4" w14:textId="48A0E94E" w:rsidR="00013E6A" w:rsidRPr="000A7FD1" w:rsidRDefault="00013E6A" w:rsidP="00EE0568">
      <w:pPr>
        <w:pStyle w:val="FAM-Num-1"/>
        <w:ind w:left="1800"/>
        <w:rPr>
          <w:rFonts w:ascii="Arial" w:hAnsi="Arial" w:cs="Arial"/>
          <w:sz w:val="22"/>
        </w:rPr>
      </w:pPr>
      <w:r w:rsidRPr="000A7FD1">
        <w:rPr>
          <w:rFonts w:ascii="Arial" w:hAnsi="Arial" w:cs="Arial"/>
          <w:sz w:val="22"/>
        </w:rPr>
        <w:t xml:space="preserve">A user control can be either (a) a manual control or (b) both an IS control and a manual control. A user control is considered both an IS control and a manual control if it depends on information system processing. Conversely, a user control is considered a manual control if it does not depend on information system processing. Manual controls do not depend on </w:t>
      </w:r>
      <w:r w:rsidRPr="000A7FD1">
        <w:rPr>
          <w:rFonts w:ascii="Arial" w:hAnsi="Arial" w:cs="Arial"/>
          <w:sz w:val="22"/>
        </w:rPr>
        <w:lastRenderedPageBreak/>
        <w:t xml:space="preserve">information system processing—either in the performance of the control activity or in the production of information used </w:t>
      </w:r>
      <w:r w:rsidR="00EE0568" w:rsidRPr="000A7FD1">
        <w:rPr>
          <w:rFonts w:ascii="Arial" w:hAnsi="Arial" w:cs="Arial"/>
          <w:sz w:val="22"/>
        </w:rPr>
        <w:t xml:space="preserve">to perform the </w:t>
      </w:r>
      <w:r w:rsidRPr="000A7FD1">
        <w:rPr>
          <w:rFonts w:ascii="Arial" w:hAnsi="Arial" w:cs="Arial"/>
          <w:sz w:val="22"/>
        </w:rPr>
        <w:t xml:space="preserve">control activity. See FAM 295 F for additional information on the types of IS controls.  </w:t>
      </w:r>
    </w:p>
    <w:p w14:paraId="2F4452AD" w14:textId="42C6ECA5" w:rsidR="00013E6A" w:rsidRPr="000A7FD1" w:rsidRDefault="00013E6A" w:rsidP="00013E6A">
      <w:pPr>
        <w:pStyle w:val="FAM-Num-1"/>
        <w:numPr>
          <w:ilvl w:val="0"/>
          <w:numId w:val="8"/>
        </w:numPr>
        <w:tabs>
          <w:tab w:val="clear" w:pos="2160"/>
          <w:tab w:val="num" w:pos="1800"/>
        </w:tabs>
        <w:ind w:left="1800"/>
        <w:rPr>
          <w:rFonts w:ascii="Arial" w:hAnsi="Arial" w:cs="Arial"/>
          <w:sz w:val="22"/>
        </w:rPr>
      </w:pPr>
      <w:r w:rsidRPr="000A7FD1">
        <w:rPr>
          <w:rFonts w:ascii="Arial" w:hAnsi="Arial" w:cs="Arial"/>
          <w:sz w:val="22"/>
        </w:rPr>
        <w:t xml:space="preserve">In column </w:t>
      </w:r>
      <w:r w:rsidR="00237A27" w:rsidRPr="000A7FD1">
        <w:rPr>
          <w:rFonts w:ascii="Arial" w:hAnsi="Arial" w:cs="Arial"/>
          <w:sz w:val="22"/>
        </w:rPr>
        <w:t>9</w:t>
      </w:r>
      <w:r w:rsidRPr="000A7FD1">
        <w:rPr>
          <w:rFonts w:ascii="Arial" w:hAnsi="Arial" w:cs="Arial"/>
          <w:sz w:val="22"/>
        </w:rPr>
        <w:t xml:space="preserve">, based on procedures performed in the internal control phase, conclude as to whether the control activity is </w:t>
      </w:r>
      <w:r w:rsidR="00F85B0C" w:rsidRPr="000A7FD1">
        <w:rPr>
          <w:rFonts w:ascii="Arial" w:hAnsi="Arial" w:cs="Arial"/>
          <w:sz w:val="22"/>
        </w:rPr>
        <w:t xml:space="preserve">effectively </w:t>
      </w:r>
      <w:r w:rsidRPr="000A7FD1">
        <w:rPr>
          <w:rFonts w:ascii="Arial" w:hAnsi="Arial" w:cs="Arial"/>
          <w:sz w:val="22"/>
        </w:rPr>
        <w:t xml:space="preserve">designed and implemented. As noted in FAM 360.11, the auditor should also identify and assess the design and implementation of other IS controls (application and general controls) on which the effectiveness of the IS controls in the SCE worksheet depends. An IS controls auditor will often need to assist the auditor in assessing the design and implementation of IS controls. </w:t>
      </w:r>
    </w:p>
    <w:p w14:paraId="6B247676" w14:textId="48356C24" w:rsidR="00013E6A" w:rsidRPr="000A7FD1" w:rsidRDefault="00013E6A" w:rsidP="00013E6A">
      <w:pPr>
        <w:pStyle w:val="FAM-Num-1"/>
        <w:numPr>
          <w:ilvl w:val="0"/>
          <w:numId w:val="8"/>
        </w:numPr>
        <w:tabs>
          <w:tab w:val="clear" w:pos="2160"/>
          <w:tab w:val="num" w:pos="1800"/>
        </w:tabs>
        <w:ind w:left="1800"/>
        <w:rPr>
          <w:rFonts w:ascii="Arial" w:hAnsi="Arial" w:cs="Arial"/>
          <w:sz w:val="22"/>
        </w:rPr>
      </w:pPr>
      <w:r w:rsidRPr="000A7FD1">
        <w:rPr>
          <w:rFonts w:ascii="Arial" w:hAnsi="Arial" w:cs="Arial"/>
          <w:sz w:val="22"/>
        </w:rPr>
        <w:t>In column 1</w:t>
      </w:r>
      <w:r w:rsidR="00237A27" w:rsidRPr="000A7FD1">
        <w:rPr>
          <w:rFonts w:ascii="Arial" w:hAnsi="Arial" w:cs="Arial"/>
          <w:sz w:val="22"/>
        </w:rPr>
        <w:t>0</w:t>
      </w:r>
      <w:r w:rsidRPr="000A7FD1">
        <w:rPr>
          <w:rFonts w:ascii="Arial" w:hAnsi="Arial" w:cs="Arial"/>
          <w:sz w:val="22"/>
        </w:rPr>
        <w:t xml:space="preserve">, reference the audit documentation supporting the conclusion on whether the control activity is </w:t>
      </w:r>
      <w:r w:rsidR="00F85B0C" w:rsidRPr="000A7FD1">
        <w:rPr>
          <w:rFonts w:ascii="Arial" w:hAnsi="Arial" w:cs="Arial"/>
          <w:sz w:val="22"/>
        </w:rPr>
        <w:t xml:space="preserve">effectively </w:t>
      </w:r>
      <w:r w:rsidRPr="000A7FD1">
        <w:rPr>
          <w:rFonts w:ascii="Arial" w:hAnsi="Arial" w:cs="Arial"/>
          <w:sz w:val="22"/>
        </w:rPr>
        <w:t>designed and implemented.</w:t>
      </w:r>
    </w:p>
    <w:p w14:paraId="70E16EDF" w14:textId="4380A70B" w:rsidR="00013E6A" w:rsidRPr="000A7FD1" w:rsidRDefault="00013E6A" w:rsidP="00013E6A">
      <w:pPr>
        <w:pStyle w:val="FAM-Num-1"/>
        <w:numPr>
          <w:ilvl w:val="0"/>
          <w:numId w:val="8"/>
        </w:numPr>
        <w:tabs>
          <w:tab w:val="clear" w:pos="2160"/>
          <w:tab w:val="num" w:pos="1800"/>
        </w:tabs>
        <w:ind w:left="1800"/>
        <w:rPr>
          <w:rFonts w:ascii="Arial" w:hAnsi="Arial" w:cs="Arial"/>
          <w:sz w:val="22"/>
        </w:rPr>
      </w:pPr>
      <w:r w:rsidRPr="000A7FD1">
        <w:rPr>
          <w:rFonts w:ascii="Arial" w:hAnsi="Arial" w:cs="Arial"/>
          <w:sz w:val="22"/>
        </w:rPr>
        <w:t>In column 1</w:t>
      </w:r>
      <w:r w:rsidR="00237A27" w:rsidRPr="000A7FD1">
        <w:rPr>
          <w:rFonts w:ascii="Arial" w:hAnsi="Arial" w:cs="Arial"/>
          <w:sz w:val="22"/>
        </w:rPr>
        <w:t>1</w:t>
      </w:r>
      <w:r w:rsidRPr="000A7FD1">
        <w:rPr>
          <w:rFonts w:ascii="Arial" w:hAnsi="Arial" w:cs="Arial"/>
          <w:sz w:val="22"/>
        </w:rPr>
        <w:t>, based on the results of the internal control and testing phase audit procedures, enter a conclusion regarding the operating effectiveness of each control activity. As part of this assessment, the auditor assesses the operating effectiveness of other IS controls on which the effectiveness of the IS controls included in the SCE worksheet depends. An IS controls auditor will often need to assist the auditor in assessing the operating effectiveness of IS controls.</w:t>
      </w:r>
    </w:p>
    <w:p w14:paraId="13675155" w14:textId="432132DC" w:rsidR="00013E6A" w:rsidRPr="000A7FD1" w:rsidRDefault="00013E6A" w:rsidP="00013E6A">
      <w:pPr>
        <w:pStyle w:val="FAM-Num-1"/>
        <w:numPr>
          <w:ilvl w:val="0"/>
          <w:numId w:val="8"/>
        </w:numPr>
        <w:tabs>
          <w:tab w:val="clear" w:pos="2160"/>
          <w:tab w:val="num" w:pos="1800"/>
        </w:tabs>
        <w:ind w:left="1800"/>
        <w:rPr>
          <w:rFonts w:ascii="Arial" w:hAnsi="Arial" w:cs="Arial"/>
          <w:sz w:val="22"/>
        </w:rPr>
      </w:pPr>
      <w:r w:rsidRPr="000A7FD1">
        <w:rPr>
          <w:rFonts w:ascii="Arial" w:hAnsi="Arial" w:cs="Arial"/>
          <w:sz w:val="22"/>
        </w:rPr>
        <w:t>In column 1</w:t>
      </w:r>
      <w:r w:rsidR="00237A27" w:rsidRPr="000A7FD1">
        <w:rPr>
          <w:rFonts w:ascii="Arial" w:hAnsi="Arial" w:cs="Arial"/>
          <w:sz w:val="22"/>
        </w:rPr>
        <w:t>2</w:t>
      </w:r>
      <w:r w:rsidRPr="000A7FD1">
        <w:rPr>
          <w:rFonts w:ascii="Arial" w:hAnsi="Arial" w:cs="Arial"/>
          <w:sz w:val="22"/>
        </w:rPr>
        <w:t xml:space="preserve">, reference the audit procedures in the detailed control testing audit plan that were designed to test each control determined to be </w:t>
      </w:r>
      <w:r w:rsidR="00F85B0C" w:rsidRPr="000A7FD1">
        <w:rPr>
          <w:rFonts w:ascii="Arial" w:hAnsi="Arial" w:cs="Arial"/>
          <w:sz w:val="22"/>
        </w:rPr>
        <w:t xml:space="preserve">effectively </w:t>
      </w:r>
      <w:r w:rsidRPr="000A7FD1">
        <w:rPr>
          <w:rFonts w:ascii="Arial" w:hAnsi="Arial" w:cs="Arial"/>
          <w:sz w:val="22"/>
        </w:rPr>
        <w:t>designed and implemented</w:t>
      </w:r>
      <w:r w:rsidR="00F85B0C" w:rsidRPr="000A7FD1">
        <w:rPr>
          <w:rFonts w:ascii="Arial" w:hAnsi="Arial" w:cs="Arial"/>
          <w:sz w:val="22"/>
        </w:rPr>
        <w:t>.</w:t>
      </w:r>
    </w:p>
    <w:p w14:paraId="7DA7E824" w14:textId="52AC1CA4" w:rsidR="00013E6A" w:rsidRPr="000A7FD1" w:rsidRDefault="00013E6A" w:rsidP="00013E6A">
      <w:pPr>
        <w:pStyle w:val="FAM-Num-1"/>
        <w:numPr>
          <w:ilvl w:val="0"/>
          <w:numId w:val="8"/>
        </w:numPr>
        <w:tabs>
          <w:tab w:val="clear" w:pos="2160"/>
          <w:tab w:val="num" w:pos="1800"/>
        </w:tabs>
        <w:ind w:left="1800"/>
        <w:rPr>
          <w:rFonts w:ascii="Arial" w:hAnsi="Arial" w:cs="Arial"/>
          <w:sz w:val="22"/>
        </w:rPr>
      </w:pPr>
      <w:r w:rsidRPr="000A7FD1">
        <w:rPr>
          <w:rFonts w:ascii="Arial" w:hAnsi="Arial" w:cs="Arial"/>
          <w:sz w:val="22"/>
        </w:rPr>
        <w:t>In column 1</w:t>
      </w:r>
      <w:r w:rsidR="00237A27" w:rsidRPr="000A7FD1">
        <w:rPr>
          <w:rFonts w:ascii="Arial" w:hAnsi="Arial" w:cs="Arial"/>
          <w:sz w:val="22"/>
        </w:rPr>
        <w:t>3</w:t>
      </w:r>
      <w:r w:rsidRPr="000A7FD1">
        <w:rPr>
          <w:rFonts w:ascii="Arial" w:hAnsi="Arial" w:cs="Arial"/>
          <w:sz w:val="22"/>
        </w:rPr>
        <w:t>, conclude on whether each internal control objective has been achieved. This conclusion will need to consider the impact of results for each internal control activity related to the internal control objective</w:t>
      </w:r>
      <w:r w:rsidR="00261F9E" w:rsidRPr="000A7FD1">
        <w:rPr>
          <w:rFonts w:ascii="Arial" w:hAnsi="Arial" w:cs="Arial"/>
          <w:sz w:val="22"/>
        </w:rPr>
        <w:t>.</w:t>
      </w:r>
      <w:r w:rsidRPr="000A7FD1">
        <w:rPr>
          <w:rFonts w:ascii="Arial" w:hAnsi="Arial" w:cs="Arial"/>
          <w:sz w:val="22"/>
        </w:rPr>
        <w:t xml:space="preserve"> </w:t>
      </w:r>
      <w:r w:rsidR="00261F9E" w:rsidRPr="000A7FD1">
        <w:rPr>
          <w:rFonts w:ascii="Arial" w:hAnsi="Arial" w:cs="Arial"/>
          <w:sz w:val="22"/>
        </w:rPr>
        <w:t xml:space="preserve">For example, </w:t>
      </w:r>
      <w:r w:rsidRPr="000A7FD1">
        <w:rPr>
          <w:rFonts w:ascii="Arial" w:hAnsi="Arial" w:cs="Arial"/>
          <w:sz w:val="22"/>
        </w:rPr>
        <w:t>one of the four control activities for achieving a control objective may have been ineffective</w:t>
      </w:r>
      <w:r w:rsidR="009369B7" w:rsidRPr="000A7FD1">
        <w:rPr>
          <w:rFonts w:ascii="Arial" w:hAnsi="Arial" w:cs="Arial"/>
          <w:sz w:val="22"/>
        </w:rPr>
        <w:t>;</w:t>
      </w:r>
      <w:r w:rsidRPr="000A7FD1">
        <w:rPr>
          <w:rFonts w:ascii="Arial" w:hAnsi="Arial" w:cs="Arial"/>
          <w:sz w:val="22"/>
        </w:rPr>
        <w:t xml:space="preserve"> however</w:t>
      </w:r>
      <w:r w:rsidR="009369B7" w:rsidRPr="000A7FD1">
        <w:rPr>
          <w:rFonts w:ascii="Arial" w:hAnsi="Arial" w:cs="Arial"/>
          <w:sz w:val="22"/>
        </w:rPr>
        <w:t>,</w:t>
      </w:r>
      <w:r w:rsidRPr="000A7FD1">
        <w:rPr>
          <w:rFonts w:ascii="Arial" w:hAnsi="Arial" w:cs="Arial"/>
          <w:sz w:val="22"/>
        </w:rPr>
        <w:t xml:space="preserve"> the combination of all control activities achieved the control objective</w:t>
      </w:r>
      <w:r w:rsidR="00261F9E" w:rsidRPr="000A7FD1">
        <w:rPr>
          <w:rFonts w:ascii="Arial" w:hAnsi="Arial" w:cs="Arial"/>
          <w:sz w:val="22"/>
        </w:rPr>
        <w:t>.</w:t>
      </w:r>
    </w:p>
    <w:p w14:paraId="2D81AB1C" w14:textId="4245C90E" w:rsidR="00013E6A" w:rsidRPr="000A7FD1" w:rsidRDefault="00013E6A" w:rsidP="00013E6A">
      <w:pPr>
        <w:pStyle w:val="FAM-Num-1"/>
        <w:numPr>
          <w:ilvl w:val="0"/>
          <w:numId w:val="8"/>
        </w:numPr>
        <w:tabs>
          <w:tab w:val="clear" w:pos="2160"/>
        </w:tabs>
        <w:ind w:left="1800"/>
        <w:rPr>
          <w:rFonts w:ascii="Arial" w:hAnsi="Arial" w:cs="Arial"/>
          <w:sz w:val="22"/>
        </w:rPr>
      </w:pPr>
      <w:r w:rsidRPr="000A7FD1">
        <w:rPr>
          <w:rFonts w:ascii="Arial" w:hAnsi="Arial" w:cs="Arial"/>
          <w:sz w:val="22"/>
        </w:rPr>
        <w:t>In column 1</w:t>
      </w:r>
      <w:r w:rsidR="00237A27" w:rsidRPr="000A7FD1">
        <w:rPr>
          <w:rFonts w:ascii="Arial" w:hAnsi="Arial" w:cs="Arial"/>
          <w:sz w:val="22"/>
        </w:rPr>
        <w:t>4</w:t>
      </w:r>
      <w:r w:rsidRPr="000A7FD1">
        <w:rPr>
          <w:rFonts w:ascii="Arial" w:hAnsi="Arial" w:cs="Arial"/>
          <w:sz w:val="22"/>
        </w:rPr>
        <w:t xml:space="preserve">, assess control risk as either low, moderate, or high based on the effectiveness of related control activities </w:t>
      </w:r>
      <w:r w:rsidR="00D976EF" w:rsidRPr="000A7FD1">
        <w:rPr>
          <w:rFonts w:ascii="Arial" w:hAnsi="Arial" w:cs="Arial"/>
          <w:sz w:val="22"/>
        </w:rPr>
        <w:t xml:space="preserve">and whether control objectives are achieved </w:t>
      </w:r>
      <w:r w:rsidRPr="000A7FD1">
        <w:rPr>
          <w:rFonts w:ascii="Arial" w:hAnsi="Arial" w:cs="Arial"/>
          <w:sz w:val="22"/>
        </w:rPr>
        <w:t>as indicated in column</w:t>
      </w:r>
      <w:r w:rsidR="00D976EF" w:rsidRPr="000A7FD1">
        <w:rPr>
          <w:rFonts w:ascii="Arial" w:hAnsi="Arial" w:cs="Arial"/>
          <w:sz w:val="22"/>
        </w:rPr>
        <w:t>s</w:t>
      </w:r>
      <w:r w:rsidRPr="000A7FD1">
        <w:rPr>
          <w:rFonts w:ascii="Arial" w:hAnsi="Arial" w:cs="Arial"/>
          <w:sz w:val="22"/>
        </w:rPr>
        <w:t xml:space="preserve"> 1</w:t>
      </w:r>
      <w:r w:rsidR="00237A27" w:rsidRPr="000A7FD1">
        <w:rPr>
          <w:rFonts w:ascii="Arial" w:hAnsi="Arial" w:cs="Arial"/>
          <w:sz w:val="22"/>
        </w:rPr>
        <w:t>1</w:t>
      </w:r>
      <w:r w:rsidRPr="000A7FD1">
        <w:rPr>
          <w:rFonts w:ascii="Arial" w:hAnsi="Arial" w:cs="Arial"/>
          <w:sz w:val="22"/>
        </w:rPr>
        <w:t xml:space="preserve"> </w:t>
      </w:r>
      <w:r w:rsidR="00D976EF" w:rsidRPr="000A7FD1">
        <w:rPr>
          <w:rFonts w:ascii="Arial" w:hAnsi="Arial" w:cs="Arial"/>
          <w:sz w:val="22"/>
        </w:rPr>
        <w:t xml:space="preserve">and </w:t>
      </w:r>
      <w:r w:rsidR="00237A27" w:rsidRPr="000A7FD1">
        <w:rPr>
          <w:rFonts w:ascii="Arial" w:hAnsi="Arial" w:cs="Arial"/>
          <w:sz w:val="22"/>
        </w:rPr>
        <w:t>13</w:t>
      </w:r>
      <w:r w:rsidR="00EE7BB3" w:rsidRPr="000A7FD1">
        <w:rPr>
          <w:rFonts w:ascii="Arial" w:hAnsi="Arial" w:cs="Arial"/>
          <w:sz w:val="22"/>
        </w:rPr>
        <w:t>, respectively</w:t>
      </w:r>
      <w:r w:rsidR="00D976EF" w:rsidRPr="000A7FD1">
        <w:rPr>
          <w:rFonts w:ascii="Arial" w:hAnsi="Arial" w:cs="Arial"/>
          <w:sz w:val="22"/>
        </w:rPr>
        <w:t xml:space="preserve"> </w:t>
      </w:r>
      <w:r w:rsidRPr="000A7FD1">
        <w:rPr>
          <w:rFonts w:ascii="Arial" w:hAnsi="Arial" w:cs="Arial"/>
          <w:sz w:val="22"/>
        </w:rPr>
        <w:t xml:space="preserve">(see FAM 370.07). </w:t>
      </w:r>
    </w:p>
    <w:p w14:paraId="628E18BA" w14:textId="6312E0DA" w:rsidR="00013E6A" w:rsidRPr="000A7FD1" w:rsidRDefault="00013E6A" w:rsidP="00013E6A">
      <w:pPr>
        <w:pStyle w:val="FAMSubsection"/>
      </w:pPr>
      <w:r w:rsidRPr="000A7FD1">
        <w:t xml:space="preserve">In the internal control phase, the auditor should document </w:t>
      </w:r>
      <w:r w:rsidR="00FE2CD8" w:rsidRPr="000A7FD1">
        <w:t>o</w:t>
      </w:r>
      <w:r w:rsidRPr="000A7FD1">
        <w:t xml:space="preserve">n the LIRA </w:t>
      </w:r>
      <w:r w:rsidR="00FE2CD8" w:rsidRPr="000A7FD1">
        <w:t xml:space="preserve">form </w:t>
      </w:r>
      <w:r w:rsidR="0032246C" w:rsidRPr="000A7FD1">
        <w:t xml:space="preserve">at FAM 395 H </w:t>
      </w:r>
      <w:r w:rsidRPr="000A7FD1">
        <w:t>or equivalent the preliminary assessments of the effectiveness of financial reporting controls and control risk</w:t>
      </w:r>
      <w:r w:rsidR="00F0749D" w:rsidRPr="000A7FD1">
        <w:t xml:space="preserve"> from the SCE</w:t>
      </w:r>
      <w:r w:rsidR="00FE2CD8" w:rsidRPr="000A7FD1">
        <w:t xml:space="preserve"> worksheet</w:t>
      </w:r>
      <w:r w:rsidR="00F0749D" w:rsidRPr="000A7FD1">
        <w:t>s,</w:t>
      </w:r>
      <w:r w:rsidRPr="000A7FD1">
        <w:t xml:space="preserve"> based on the results of audit procedures performed through the internal control phase (e.g., walk</w:t>
      </w:r>
      <w:r w:rsidR="004763E4" w:rsidRPr="000A7FD1">
        <w:t>-</w:t>
      </w:r>
      <w:r w:rsidRPr="000A7FD1">
        <w:t xml:space="preserve">throughs and control tests that involve nonstatistical selection). Based on the results of audit procedures performed in the testing phase (e.g., sampling control tests), the auditor should determine if the preliminary assessments remain appropriate and should update them if necessary. The auditor should also note </w:t>
      </w:r>
      <w:r w:rsidR="00FE2CD8" w:rsidRPr="000A7FD1">
        <w:t>o</w:t>
      </w:r>
      <w:r w:rsidRPr="000A7FD1">
        <w:t xml:space="preserve">n the LIRA </w:t>
      </w:r>
      <w:r w:rsidR="00FE2CD8" w:rsidRPr="000A7FD1">
        <w:t xml:space="preserve">form </w:t>
      </w:r>
      <w:r w:rsidRPr="000A7FD1">
        <w:t xml:space="preserve">any control deficiencies identified </w:t>
      </w:r>
      <w:r w:rsidR="009369B7" w:rsidRPr="000A7FD1">
        <w:t xml:space="preserve">during </w:t>
      </w:r>
      <w:r w:rsidRPr="000A7FD1">
        <w:t>testing</w:t>
      </w:r>
      <w:r w:rsidR="009369B7" w:rsidRPr="000A7FD1">
        <w:t xml:space="preserve"> of</w:t>
      </w:r>
      <w:r w:rsidRPr="000A7FD1">
        <w:t xml:space="preserve"> the control activities </w:t>
      </w:r>
      <w:r w:rsidR="00FE2CD8" w:rsidRPr="000A7FD1">
        <w:t>i</w:t>
      </w:r>
      <w:r w:rsidRPr="000A7FD1">
        <w:t>n the SCE</w:t>
      </w:r>
      <w:r w:rsidR="00FE2CD8" w:rsidRPr="000A7FD1">
        <w:t xml:space="preserve"> worksheet</w:t>
      </w:r>
      <w:r w:rsidRPr="000A7FD1">
        <w:t xml:space="preserve">. </w:t>
      </w:r>
    </w:p>
    <w:p w14:paraId="29CF2362" w14:textId="059AD1A1" w:rsidR="00013E6A" w:rsidRPr="000A7FD1" w:rsidRDefault="00013E6A" w:rsidP="00F82801">
      <w:pPr>
        <w:pStyle w:val="BodyText"/>
        <w:rPr>
          <w:rFonts w:ascii="Arial" w:hAnsi="Arial" w:cs="Arial"/>
        </w:rPr>
        <w:sectPr w:rsidR="00013E6A" w:rsidRPr="000A7FD1" w:rsidSect="00666BFE">
          <w:headerReference w:type="even" r:id="rId65"/>
          <w:headerReference w:type="default" r:id="rId66"/>
          <w:footerReference w:type="even" r:id="rId67"/>
          <w:footerReference w:type="default" r:id="rId68"/>
          <w:endnotePr>
            <w:numFmt w:val="decimal"/>
          </w:endnotePr>
          <w:pgSz w:w="12240" w:h="15840"/>
          <w:pgMar w:top="1080" w:right="1440" w:bottom="1080" w:left="1080" w:header="720" w:footer="720" w:gutter="360"/>
          <w:pgNumType w:start="1"/>
          <w:cols w:space="720"/>
          <w:noEndnote/>
          <w:docGrid w:linePitch="326"/>
        </w:sectPr>
      </w:pPr>
    </w:p>
    <w:tbl>
      <w:tblPr>
        <w:tblW w:w="5262" w:type="pct"/>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523"/>
        <w:gridCol w:w="145"/>
        <w:gridCol w:w="1842"/>
        <w:gridCol w:w="783"/>
        <w:gridCol w:w="512"/>
        <w:gridCol w:w="1407"/>
        <w:gridCol w:w="416"/>
        <w:gridCol w:w="587"/>
        <w:gridCol w:w="78"/>
        <w:gridCol w:w="267"/>
        <w:gridCol w:w="772"/>
        <w:gridCol w:w="527"/>
        <w:gridCol w:w="531"/>
        <w:gridCol w:w="865"/>
        <w:gridCol w:w="902"/>
        <w:gridCol w:w="884"/>
        <w:gridCol w:w="204"/>
        <w:gridCol w:w="1262"/>
        <w:gridCol w:w="631"/>
        <w:gridCol w:w="82"/>
        <w:gridCol w:w="297"/>
        <w:gridCol w:w="791"/>
        <w:gridCol w:w="991"/>
        <w:gridCol w:w="988"/>
        <w:gridCol w:w="613"/>
        <w:gridCol w:w="304"/>
        <w:gridCol w:w="360"/>
      </w:tblGrid>
      <w:tr w:rsidR="00D254E3" w:rsidRPr="000A7FD1" w14:paraId="2DF4268A" w14:textId="77777777" w:rsidTr="00AC010F">
        <w:trPr>
          <w:trHeight w:val="303"/>
        </w:trPr>
        <w:tc>
          <w:tcPr>
            <w:tcW w:w="5000" w:type="pct"/>
            <w:gridSpan w:val="27"/>
            <w:tcBorders>
              <w:top w:val="nil"/>
              <w:left w:val="nil"/>
              <w:bottom w:val="single" w:sz="12" w:space="0" w:color="auto"/>
              <w:right w:val="nil"/>
            </w:tcBorders>
            <w:shd w:val="clear" w:color="000000" w:fill="FFFFFF"/>
            <w:noWrap/>
            <w:vAlign w:val="bottom"/>
          </w:tcPr>
          <w:p w14:paraId="2BB0853C" w14:textId="14268206" w:rsidR="00D254E3" w:rsidRPr="000A7FD1" w:rsidRDefault="00D254E3" w:rsidP="00D254E3">
            <w:pPr>
              <w:widowControl/>
              <w:adjustRightInd/>
              <w:spacing w:before="0" w:after="0"/>
              <w:textAlignment w:val="auto"/>
              <w:rPr>
                <w:rFonts w:cs="Arial"/>
                <w:color w:val="000000"/>
                <w:sz w:val="20"/>
                <w:szCs w:val="20"/>
              </w:rPr>
            </w:pPr>
            <w:r w:rsidRPr="000A7FD1">
              <w:rPr>
                <w:rFonts w:cs="Arial"/>
                <w:sz w:val="20"/>
                <w:szCs w:val="20"/>
              </w:rPr>
              <w:lastRenderedPageBreak/>
              <w:t xml:space="preserve">Note: The auditor should tailor the risks in column 2 to the specific entity. For illustrative purposes, some columns contain example text. The auditor should complete all columns as applicable. </w:t>
            </w:r>
          </w:p>
        </w:tc>
      </w:tr>
      <w:tr w:rsidR="00466064" w:rsidRPr="000A7FD1" w14:paraId="214B3D92" w14:textId="77777777" w:rsidTr="00466064">
        <w:trPr>
          <w:trHeight w:val="495"/>
        </w:trPr>
        <w:tc>
          <w:tcPr>
            <w:tcW w:w="449" w:type="pct"/>
            <w:gridSpan w:val="2"/>
            <w:tcBorders>
              <w:top w:val="single" w:sz="12" w:space="0" w:color="auto"/>
            </w:tcBorders>
            <w:shd w:val="clear" w:color="000000" w:fill="FFFFFF"/>
            <w:noWrap/>
            <w:vAlign w:val="bottom"/>
            <w:hideMark/>
          </w:tcPr>
          <w:p w14:paraId="4F3B2EF3" w14:textId="77777777" w:rsidR="00466064" w:rsidRPr="000A7FD1" w:rsidRDefault="00466064" w:rsidP="00D254E3">
            <w:pPr>
              <w:widowControl/>
              <w:adjustRightInd/>
              <w:spacing w:before="0" w:after="0"/>
              <w:textAlignment w:val="auto"/>
              <w:rPr>
                <w:rFonts w:cs="Arial"/>
                <w:b/>
                <w:bCs/>
                <w:color w:val="000000"/>
              </w:rPr>
            </w:pPr>
            <w:r w:rsidRPr="000A7FD1">
              <w:rPr>
                <w:rFonts w:cs="Arial"/>
                <w:b/>
                <w:bCs/>
                <w:color w:val="000000"/>
              </w:rPr>
              <w:t>ENTITY:</w:t>
            </w:r>
          </w:p>
        </w:tc>
        <w:tc>
          <w:tcPr>
            <w:tcW w:w="707" w:type="pct"/>
            <w:gridSpan w:val="2"/>
            <w:tcBorders>
              <w:top w:val="single" w:sz="12" w:space="0" w:color="auto"/>
            </w:tcBorders>
            <w:shd w:val="clear" w:color="000000" w:fill="FFFFFF"/>
            <w:noWrap/>
            <w:vAlign w:val="bottom"/>
            <w:hideMark/>
          </w:tcPr>
          <w:p w14:paraId="2C850EDF" w14:textId="77777777" w:rsidR="00466064" w:rsidRPr="000A7FD1" w:rsidRDefault="00466064" w:rsidP="00D254E3">
            <w:pPr>
              <w:widowControl/>
              <w:adjustRightInd/>
              <w:spacing w:before="0" w:after="0"/>
              <w:textAlignment w:val="auto"/>
              <w:rPr>
                <w:rFonts w:cs="Arial"/>
                <w:b/>
                <w:bCs/>
                <w:color w:val="000000"/>
              </w:rPr>
            </w:pPr>
            <w:r w:rsidRPr="000A7FD1">
              <w:rPr>
                <w:rFonts w:cs="Arial"/>
                <w:b/>
                <w:bCs/>
                <w:color w:val="000000"/>
              </w:rPr>
              <w:t> </w:t>
            </w:r>
          </w:p>
        </w:tc>
        <w:tc>
          <w:tcPr>
            <w:tcW w:w="787" w:type="pct"/>
            <w:gridSpan w:val="4"/>
            <w:tcBorders>
              <w:top w:val="single" w:sz="12" w:space="0" w:color="auto"/>
              <w:bottom w:val="single" w:sz="8" w:space="0" w:color="auto"/>
            </w:tcBorders>
            <w:shd w:val="clear" w:color="000000" w:fill="FFFFFF"/>
            <w:noWrap/>
            <w:vAlign w:val="bottom"/>
            <w:hideMark/>
          </w:tcPr>
          <w:p w14:paraId="318F1D0B" w14:textId="77777777" w:rsidR="00466064" w:rsidRPr="00466064" w:rsidRDefault="00466064" w:rsidP="00D254E3">
            <w:pPr>
              <w:widowControl/>
              <w:adjustRightInd/>
              <w:spacing w:before="0" w:after="0"/>
              <w:textAlignment w:val="auto"/>
              <w:rPr>
                <w:rFonts w:cs="Arial"/>
                <w:color w:val="000000"/>
              </w:rPr>
            </w:pPr>
            <w:r w:rsidRPr="00466064">
              <w:rPr>
                <w:rFonts w:cs="Arial"/>
                <w:color w:val="000000"/>
              </w:rPr>
              <w:t> </w:t>
            </w:r>
          </w:p>
          <w:p w14:paraId="7B77A824" w14:textId="7C325260" w:rsidR="00466064" w:rsidRPr="00466064" w:rsidRDefault="00466064" w:rsidP="00D254E3">
            <w:pPr>
              <w:widowControl/>
              <w:adjustRightInd/>
              <w:spacing w:before="0" w:after="0"/>
              <w:textAlignment w:val="auto"/>
              <w:rPr>
                <w:rFonts w:cs="Arial"/>
                <w:color w:val="000000"/>
              </w:rPr>
            </w:pPr>
            <w:r w:rsidRPr="00466064">
              <w:rPr>
                <w:rFonts w:cs="Arial"/>
                <w:color w:val="000000"/>
              </w:rPr>
              <w:t> </w:t>
            </w:r>
          </w:p>
        </w:tc>
        <w:tc>
          <w:tcPr>
            <w:tcW w:w="1695" w:type="pct"/>
            <w:gridSpan w:val="10"/>
            <w:tcBorders>
              <w:top w:val="single" w:sz="12" w:space="0" w:color="auto"/>
            </w:tcBorders>
            <w:shd w:val="clear" w:color="000000" w:fill="FFFFFF"/>
            <w:vAlign w:val="bottom"/>
            <w:hideMark/>
          </w:tcPr>
          <w:p w14:paraId="24D5B1FA" w14:textId="77777777" w:rsidR="00466064" w:rsidRPr="000A7FD1" w:rsidRDefault="00466064" w:rsidP="00D254E3">
            <w:pPr>
              <w:widowControl/>
              <w:adjustRightInd/>
              <w:spacing w:before="0" w:after="0"/>
              <w:jc w:val="center"/>
              <w:textAlignment w:val="auto"/>
              <w:rPr>
                <w:rFonts w:cs="Arial"/>
                <w:color w:val="000000"/>
                <w:sz w:val="20"/>
                <w:szCs w:val="20"/>
              </w:rPr>
            </w:pPr>
          </w:p>
          <w:p w14:paraId="46790785" w14:textId="4F059944" w:rsidR="00466064" w:rsidRPr="000A7FD1" w:rsidRDefault="00466064" w:rsidP="00D254E3">
            <w:pPr>
              <w:widowControl/>
              <w:adjustRightInd/>
              <w:spacing w:before="0" w:after="0"/>
              <w:jc w:val="center"/>
              <w:textAlignment w:val="auto"/>
              <w:rPr>
                <w:rFonts w:cs="Arial"/>
                <w:b/>
                <w:bCs/>
                <w:sz w:val="28"/>
                <w:szCs w:val="28"/>
              </w:rPr>
            </w:pPr>
            <w:r w:rsidRPr="000A7FD1">
              <w:rPr>
                <w:rFonts w:cs="Arial"/>
                <w:color w:val="000000"/>
                <w:sz w:val="20"/>
                <w:szCs w:val="20"/>
              </w:rPr>
              <w:t> </w:t>
            </w:r>
            <w:r w:rsidRPr="000A7FD1">
              <w:rPr>
                <w:rFonts w:cs="Arial"/>
                <w:b/>
                <w:bCs/>
                <w:sz w:val="28"/>
                <w:szCs w:val="28"/>
              </w:rPr>
              <w:t>SPECIFIC CONTROL EVALUATION</w:t>
            </w:r>
          </w:p>
          <w:p w14:paraId="3132CFBC" w14:textId="77777777" w:rsidR="00466064" w:rsidRPr="000A7FD1" w:rsidRDefault="00466064" w:rsidP="00D254E3">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92" w:type="pct"/>
            <w:gridSpan w:val="2"/>
            <w:tcBorders>
              <w:top w:val="single" w:sz="12" w:space="0" w:color="auto"/>
            </w:tcBorders>
            <w:shd w:val="clear" w:color="000000" w:fill="FFFFFF"/>
            <w:noWrap/>
            <w:vAlign w:val="bottom"/>
            <w:hideMark/>
          </w:tcPr>
          <w:p w14:paraId="055829DB" w14:textId="77777777" w:rsidR="00466064" w:rsidRPr="000A7FD1" w:rsidRDefault="00466064" w:rsidP="00D254E3">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80" w:type="pct"/>
            <w:tcBorders>
              <w:top w:val="single" w:sz="12" w:space="0" w:color="auto"/>
            </w:tcBorders>
            <w:shd w:val="clear" w:color="000000" w:fill="FFFFFF"/>
            <w:noWrap/>
            <w:vAlign w:val="bottom"/>
            <w:hideMark/>
          </w:tcPr>
          <w:p w14:paraId="224A5FC5" w14:textId="77777777" w:rsidR="00466064" w:rsidRPr="000A7FD1" w:rsidRDefault="00466064" w:rsidP="00D254E3">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911" w:type="pct"/>
            <w:gridSpan w:val="4"/>
            <w:tcBorders>
              <w:top w:val="single" w:sz="12" w:space="0" w:color="auto"/>
            </w:tcBorders>
            <w:shd w:val="clear" w:color="000000" w:fill="FFFFFF"/>
            <w:noWrap/>
            <w:vAlign w:val="bottom"/>
            <w:hideMark/>
          </w:tcPr>
          <w:p w14:paraId="1A48DEA9" w14:textId="77777777" w:rsidR="00466064" w:rsidRPr="000A7FD1" w:rsidRDefault="00466064" w:rsidP="00D254E3">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82" w:type="pct"/>
            <w:tcBorders>
              <w:top w:val="single" w:sz="12" w:space="0" w:color="auto"/>
            </w:tcBorders>
            <w:shd w:val="clear" w:color="000000" w:fill="FFFFFF"/>
            <w:noWrap/>
            <w:vAlign w:val="bottom"/>
            <w:hideMark/>
          </w:tcPr>
          <w:p w14:paraId="7892C7EB" w14:textId="77777777" w:rsidR="00466064" w:rsidRPr="000A7FD1" w:rsidRDefault="00466064" w:rsidP="00D254E3">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97" w:type="pct"/>
            <w:tcBorders>
              <w:top w:val="single" w:sz="12" w:space="0" w:color="auto"/>
            </w:tcBorders>
            <w:shd w:val="clear" w:color="000000" w:fill="FFFFFF"/>
            <w:noWrap/>
            <w:vAlign w:val="bottom"/>
            <w:hideMark/>
          </w:tcPr>
          <w:p w14:paraId="320C6A00" w14:textId="77777777" w:rsidR="00466064" w:rsidRPr="000A7FD1" w:rsidRDefault="00466064" w:rsidP="00D254E3">
            <w:pPr>
              <w:widowControl/>
              <w:adjustRightInd/>
              <w:spacing w:before="0" w:after="0"/>
              <w:textAlignment w:val="auto"/>
              <w:rPr>
                <w:rFonts w:cs="Arial"/>
                <w:color w:val="000000"/>
                <w:sz w:val="20"/>
                <w:szCs w:val="20"/>
              </w:rPr>
            </w:pPr>
            <w:r w:rsidRPr="000A7FD1">
              <w:rPr>
                <w:rFonts w:cs="Arial"/>
                <w:color w:val="000000"/>
                <w:sz w:val="20"/>
                <w:szCs w:val="20"/>
              </w:rPr>
              <w:t> </w:t>
            </w:r>
          </w:p>
        </w:tc>
      </w:tr>
      <w:tr w:rsidR="00466064" w:rsidRPr="000A7FD1" w14:paraId="661CAD98" w14:textId="77777777" w:rsidTr="00466064">
        <w:trPr>
          <w:trHeight w:val="435"/>
        </w:trPr>
        <w:tc>
          <w:tcPr>
            <w:tcW w:w="1156" w:type="pct"/>
            <w:gridSpan w:val="4"/>
            <w:shd w:val="clear" w:color="000000" w:fill="FFFFFF"/>
            <w:noWrap/>
            <w:vAlign w:val="bottom"/>
            <w:hideMark/>
          </w:tcPr>
          <w:p w14:paraId="5E85CD06" w14:textId="77777777" w:rsidR="00466064" w:rsidRPr="000A7FD1" w:rsidRDefault="00466064" w:rsidP="00D254E3">
            <w:pPr>
              <w:widowControl/>
              <w:adjustRightInd/>
              <w:spacing w:before="0" w:after="0"/>
              <w:textAlignment w:val="auto"/>
              <w:rPr>
                <w:rFonts w:cs="Arial"/>
                <w:b/>
                <w:bCs/>
                <w:color w:val="000000"/>
              </w:rPr>
            </w:pPr>
            <w:r w:rsidRPr="000A7FD1">
              <w:rPr>
                <w:rFonts w:cs="Arial"/>
                <w:b/>
                <w:bCs/>
                <w:color w:val="000000"/>
              </w:rPr>
              <w:t>DATE OF FINANCIAL STATEMENTS:</w:t>
            </w:r>
          </w:p>
        </w:tc>
        <w:tc>
          <w:tcPr>
            <w:tcW w:w="787" w:type="pct"/>
            <w:gridSpan w:val="4"/>
            <w:tcBorders>
              <w:top w:val="single" w:sz="8" w:space="0" w:color="auto"/>
              <w:bottom w:val="single" w:sz="8" w:space="0" w:color="auto"/>
            </w:tcBorders>
            <w:shd w:val="clear" w:color="000000" w:fill="FFFFFF"/>
            <w:noWrap/>
            <w:vAlign w:val="bottom"/>
            <w:hideMark/>
          </w:tcPr>
          <w:p w14:paraId="6A4FD0D0" w14:textId="77777777" w:rsidR="00466064" w:rsidRPr="00466064" w:rsidRDefault="00466064" w:rsidP="00D254E3">
            <w:pPr>
              <w:widowControl/>
              <w:adjustRightInd/>
              <w:spacing w:before="0" w:after="0"/>
              <w:textAlignment w:val="auto"/>
              <w:rPr>
                <w:rFonts w:cs="Arial"/>
                <w:b/>
                <w:bCs/>
                <w:color w:val="000000"/>
              </w:rPr>
            </w:pPr>
            <w:r w:rsidRPr="00466064">
              <w:rPr>
                <w:rFonts w:cs="Arial"/>
                <w:b/>
                <w:bCs/>
                <w:color w:val="000000"/>
              </w:rPr>
              <w:t> </w:t>
            </w:r>
          </w:p>
          <w:p w14:paraId="6E2C6CE1" w14:textId="2CD45F11" w:rsidR="00466064" w:rsidRPr="00466064" w:rsidRDefault="00466064" w:rsidP="00D254E3">
            <w:pPr>
              <w:widowControl/>
              <w:adjustRightInd/>
              <w:spacing w:before="0" w:after="0"/>
              <w:textAlignment w:val="auto"/>
              <w:rPr>
                <w:rFonts w:cs="Arial"/>
                <w:color w:val="000000"/>
              </w:rPr>
            </w:pPr>
            <w:r w:rsidRPr="00466064">
              <w:rPr>
                <w:rFonts w:cs="Arial"/>
                <w:color w:val="000000"/>
              </w:rPr>
              <w:t> </w:t>
            </w:r>
          </w:p>
        </w:tc>
        <w:tc>
          <w:tcPr>
            <w:tcW w:w="93" w:type="pct"/>
            <w:gridSpan w:val="2"/>
            <w:shd w:val="clear" w:color="auto" w:fill="auto"/>
            <w:noWrap/>
            <w:vAlign w:val="bottom"/>
            <w:hideMark/>
          </w:tcPr>
          <w:p w14:paraId="3959E927" w14:textId="77777777" w:rsidR="00466064" w:rsidRPr="000A7FD1" w:rsidRDefault="00466064" w:rsidP="00D254E3">
            <w:pPr>
              <w:widowControl/>
              <w:adjustRightInd/>
              <w:spacing w:before="0" w:after="0"/>
              <w:textAlignment w:val="auto"/>
              <w:rPr>
                <w:rFonts w:cs="Arial"/>
                <w:color w:val="000000"/>
              </w:rPr>
            </w:pPr>
          </w:p>
        </w:tc>
        <w:tc>
          <w:tcPr>
            <w:tcW w:w="208" w:type="pct"/>
            <w:shd w:val="clear" w:color="auto" w:fill="auto"/>
            <w:noWrap/>
            <w:vAlign w:val="bottom"/>
            <w:hideMark/>
          </w:tcPr>
          <w:p w14:paraId="495248EC" w14:textId="77777777" w:rsidR="00466064" w:rsidRPr="000A7FD1" w:rsidRDefault="00466064" w:rsidP="00D254E3">
            <w:pPr>
              <w:widowControl/>
              <w:adjustRightInd/>
              <w:spacing w:before="0" w:after="0"/>
              <w:textAlignment w:val="auto"/>
              <w:rPr>
                <w:rFonts w:ascii="Times New Roman" w:hAnsi="Times New Roman"/>
                <w:sz w:val="20"/>
                <w:szCs w:val="20"/>
              </w:rPr>
            </w:pPr>
          </w:p>
        </w:tc>
        <w:tc>
          <w:tcPr>
            <w:tcW w:w="142" w:type="pct"/>
            <w:shd w:val="clear" w:color="auto" w:fill="auto"/>
            <w:noWrap/>
            <w:vAlign w:val="bottom"/>
            <w:hideMark/>
          </w:tcPr>
          <w:p w14:paraId="74C451B5" w14:textId="77777777" w:rsidR="00466064" w:rsidRPr="000A7FD1" w:rsidRDefault="00466064" w:rsidP="00D254E3">
            <w:pPr>
              <w:widowControl/>
              <w:adjustRightInd/>
              <w:spacing w:before="0" w:after="0"/>
              <w:textAlignment w:val="auto"/>
              <w:rPr>
                <w:rFonts w:ascii="Times New Roman" w:hAnsi="Times New Roman"/>
                <w:sz w:val="20"/>
                <w:szCs w:val="20"/>
              </w:rPr>
            </w:pPr>
          </w:p>
        </w:tc>
        <w:tc>
          <w:tcPr>
            <w:tcW w:w="143" w:type="pct"/>
            <w:shd w:val="clear" w:color="auto" w:fill="auto"/>
            <w:noWrap/>
            <w:vAlign w:val="bottom"/>
            <w:hideMark/>
          </w:tcPr>
          <w:p w14:paraId="2A7F9400" w14:textId="77777777" w:rsidR="00466064" w:rsidRPr="000A7FD1" w:rsidRDefault="00466064" w:rsidP="00D254E3">
            <w:pPr>
              <w:widowControl/>
              <w:adjustRightInd/>
              <w:spacing w:before="0" w:after="0"/>
              <w:textAlignment w:val="auto"/>
              <w:rPr>
                <w:rFonts w:ascii="Times New Roman" w:hAnsi="Times New Roman"/>
                <w:sz w:val="20"/>
                <w:szCs w:val="20"/>
              </w:rPr>
            </w:pPr>
          </w:p>
        </w:tc>
        <w:tc>
          <w:tcPr>
            <w:tcW w:w="1301" w:type="pct"/>
            <w:gridSpan w:val="7"/>
            <w:shd w:val="clear" w:color="000000" w:fill="FFFFFF"/>
            <w:noWrap/>
            <w:vAlign w:val="bottom"/>
            <w:hideMark/>
          </w:tcPr>
          <w:p w14:paraId="7B5D9897" w14:textId="77777777" w:rsidR="00466064" w:rsidRPr="000A7FD1" w:rsidRDefault="00466064" w:rsidP="00D254E3">
            <w:pPr>
              <w:widowControl/>
              <w:adjustRightInd/>
              <w:spacing w:before="0" w:after="0"/>
              <w:textAlignment w:val="auto"/>
              <w:rPr>
                <w:rFonts w:cs="Arial"/>
                <w:b/>
                <w:bCs/>
                <w:color w:val="000000"/>
              </w:rPr>
            </w:pPr>
            <w:r w:rsidRPr="000A7FD1">
              <w:rPr>
                <w:rFonts w:cs="Arial"/>
                <w:b/>
                <w:bCs/>
                <w:color w:val="000000"/>
              </w:rPr>
              <w:t>INTERNAL CONTROL PHASE SIGN-OFFS</w:t>
            </w:r>
          </w:p>
        </w:tc>
        <w:tc>
          <w:tcPr>
            <w:tcW w:w="80" w:type="pct"/>
            <w:tcBorders>
              <w:bottom w:val="nil"/>
            </w:tcBorders>
            <w:shd w:val="clear" w:color="auto" w:fill="auto"/>
            <w:noWrap/>
            <w:vAlign w:val="bottom"/>
            <w:hideMark/>
          </w:tcPr>
          <w:p w14:paraId="50B3DBD4" w14:textId="77777777" w:rsidR="00466064" w:rsidRPr="000A7FD1" w:rsidRDefault="00466064" w:rsidP="00D254E3">
            <w:pPr>
              <w:widowControl/>
              <w:adjustRightInd/>
              <w:spacing w:before="0" w:after="0"/>
              <w:textAlignment w:val="auto"/>
              <w:rPr>
                <w:rFonts w:cs="Arial"/>
                <w:b/>
                <w:bCs/>
                <w:color w:val="000000"/>
              </w:rPr>
            </w:pPr>
          </w:p>
        </w:tc>
        <w:tc>
          <w:tcPr>
            <w:tcW w:w="911" w:type="pct"/>
            <w:gridSpan w:val="4"/>
            <w:tcBorders>
              <w:bottom w:val="nil"/>
            </w:tcBorders>
            <w:shd w:val="clear" w:color="000000" w:fill="FFFFFF"/>
            <w:noWrap/>
            <w:vAlign w:val="bottom"/>
            <w:hideMark/>
          </w:tcPr>
          <w:p w14:paraId="1F054157" w14:textId="77777777" w:rsidR="00466064" w:rsidRPr="000A7FD1" w:rsidRDefault="00466064" w:rsidP="00D254E3">
            <w:pPr>
              <w:widowControl/>
              <w:adjustRightInd/>
              <w:spacing w:before="0" w:after="0"/>
              <w:textAlignment w:val="auto"/>
              <w:rPr>
                <w:rFonts w:cs="Arial"/>
                <w:b/>
                <w:bCs/>
                <w:color w:val="000000"/>
              </w:rPr>
            </w:pPr>
            <w:r w:rsidRPr="000A7FD1">
              <w:rPr>
                <w:rFonts w:cs="Arial"/>
                <w:b/>
                <w:bCs/>
                <w:color w:val="000000"/>
              </w:rPr>
              <w:t>TESTING PHASE SIGN-OFFS</w:t>
            </w:r>
          </w:p>
        </w:tc>
        <w:tc>
          <w:tcPr>
            <w:tcW w:w="82" w:type="pct"/>
            <w:tcBorders>
              <w:bottom w:val="nil"/>
            </w:tcBorders>
            <w:shd w:val="clear" w:color="auto" w:fill="auto"/>
            <w:noWrap/>
            <w:vAlign w:val="bottom"/>
            <w:hideMark/>
          </w:tcPr>
          <w:p w14:paraId="27A85A9C" w14:textId="77777777" w:rsidR="00466064" w:rsidRPr="000A7FD1" w:rsidRDefault="00466064" w:rsidP="00D254E3">
            <w:pPr>
              <w:widowControl/>
              <w:adjustRightInd/>
              <w:spacing w:before="0" w:after="0"/>
              <w:textAlignment w:val="auto"/>
              <w:rPr>
                <w:rFonts w:cs="Arial"/>
                <w:b/>
                <w:bCs/>
                <w:color w:val="000000"/>
              </w:rPr>
            </w:pPr>
          </w:p>
        </w:tc>
        <w:tc>
          <w:tcPr>
            <w:tcW w:w="97" w:type="pct"/>
            <w:shd w:val="clear" w:color="000000" w:fill="FFFFFF"/>
            <w:noWrap/>
            <w:vAlign w:val="bottom"/>
            <w:hideMark/>
          </w:tcPr>
          <w:p w14:paraId="00A8C866" w14:textId="77777777" w:rsidR="00466064" w:rsidRPr="000A7FD1" w:rsidRDefault="00466064" w:rsidP="00D254E3">
            <w:pPr>
              <w:widowControl/>
              <w:adjustRightInd/>
              <w:spacing w:before="0" w:after="0"/>
              <w:textAlignment w:val="auto"/>
              <w:rPr>
                <w:rFonts w:cs="Arial"/>
                <w:b/>
                <w:bCs/>
                <w:color w:val="000000"/>
              </w:rPr>
            </w:pPr>
            <w:r w:rsidRPr="000A7FD1">
              <w:rPr>
                <w:rFonts w:cs="Arial"/>
                <w:b/>
                <w:bCs/>
                <w:color w:val="000000"/>
              </w:rPr>
              <w:t> </w:t>
            </w:r>
          </w:p>
        </w:tc>
      </w:tr>
      <w:tr w:rsidR="00AC010F" w:rsidRPr="000A7FD1" w14:paraId="5E41E6D9" w14:textId="77777777" w:rsidTr="00D71ED5">
        <w:trPr>
          <w:trHeight w:val="372"/>
        </w:trPr>
        <w:tc>
          <w:tcPr>
            <w:tcW w:w="1156" w:type="pct"/>
            <w:gridSpan w:val="4"/>
            <w:vMerge w:val="restart"/>
            <w:shd w:val="clear" w:color="auto" w:fill="auto"/>
            <w:vAlign w:val="bottom"/>
            <w:hideMark/>
          </w:tcPr>
          <w:p w14:paraId="753C976E" w14:textId="77777777" w:rsidR="00D254E3" w:rsidRPr="000A7FD1" w:rsidRDefault="00D254E3" w:rsidP="00D254E3">
            <w:pPr>
              <w:widowControl/>
              <w:adjustRightInd/>
              <w:spacing w:before="0" w:after="0"/>
              <w:textAlignment w:val="auto"/>
              <w:rPr>
                <w:rFonts w:cs="Arial"/>
                <w:b/>
                <w:bCs/>
                <w:color w:val="000000"/>
              </w:rPr>
            </w:pPr>
            <w:r w:rsidRPr="000A7FD1">
              <w:rPr>
                <w:rFonts w:cs="Arial"/>
                <w:b/>
                <w:bCs/>
                <w:color w:val="000000"/>
              </w:rPr>
              <w:t>CLASS OF TRANSACTIONS:</w:t>
            </w:r>
          </w:p>
        </w:tc>
        <w:tc>
          <w:tcPr>
            <w:tcW w:w="629" w:type="pct"/>
            <w:gridSpan w:val="3"/>
            <w:tcBorders>
              <w:bottom w:val="nil"/>
            </w:tcBorders>
            <w:shd w:val="clear" w:color="auto" w:fill="auto"/>
            <w:vAlign w:val="bottom"/>
            <w:hideMark/>
          </w:tcPr>
          <w:p w14:paraId="308A3BE4" w14:textId="77777777" w:rsidR="00D254E3" w:rsidRPr="00466064" w:rsidRDefault="00D254E3" w:rsidP="00D254E3">
            <w:pPr>
              <w:widowControl/>
              <w:adjustRightInd/>
              <w:spacing w:before="0" w:after="0"/>
              <w:textAlignment w:val="auto"/>
              <w:rPr>
                <w:rFonts w:cs="Arial"/>
                <w:b/>
                <w:bCs/>
                <w:color w:val="000000"/>
              </w:rPr>
            </w:pPr>
          </w:p>
        </w:tc>
        <w:tc>
          <w:tcPr>
            <w:tcW w:w="158" w:type="pct"/>
            <w:tcBorders>
              <w:top w:val="single" w:sz="8" w:space="0" w:color="auto"/>
              <w:bottom w:val="nil"/>
            </w:tcBorders>
            <w:shd w:val="clear" w:color="000000" w:fill="FFFFFF"/>
            <w:noWrap/>
            <w:vAlign w:val="bottom"/>
            <w:hideMark/>
          </w:tcPr>
          <w:p w14:paraId="42286714" w14:textId="77777777" w:rsidR="00D254E3" w:rsidRPr="00466064" w:rsidRDefault="00D254E3" w:rsidP="00D254E3">
            <w:pPr>
              <w:widowControl/>
              <w:adjustRightInd/>
              <w:spacing w:before="0" w:after="0"/>
              <w:textAlignment w:val="auto"/>
              <w:rPr>
                <w:rFonts w:cs="Arial"/>
                <w:color w:val="000000"/>
              </w:rPr>
            </w:pPr>
            <w:r w:rsidRPr="00466064">
              <w:rPr>
                <w:rFonts w:cs="Arial"/>
                <w:color w:val="000000"/>
              </w:rPr>
              <w:t> </w:t>
            </w:r>
          </w:p>
        </w:tc>
        <w:tc>
          <w:tcPr>
            <w:tcW w:w="93" w:type="pct"/>
            <w:gridSpan w:val="2"/>
            <w:shd w:val="clear" w:color="000000" w:fill="FFFFFF"/>
            <w:noWrap/>
            <w:vAlign w:val="bottom"/>
            <w:hideMark/>
          </w:tcPr>
          <w:p w14:paraId="23074E86" w14:textId="77777777" w:rsidR="00D254E3" w:rsidRPr="000A7FD1" w:rsidRDefault="00D254E3" w:rsidP="00D254E3">
            <w:pPr>
              <w:widowControl/>
              <w:adjustRightInd/>
              <w:spacing w:before="0" w:after="0"/>
              <w:textAlignment w:val="auto"/>
              <w:rPr>
                <w:rFonts w:cs="Arial"/>
                <w:color w:val="000000"/>
              </w:rPr>
            </w:pPr>
            <w:r w:rsidRPr="000A7FD1">
              <w:rPr>
                <w:rFonts w:cs="Arial"/>
                <w:color w:val="000000"/>
              </w:rPr>
              <w:t> </w:t>
            </w:r>
          </w:p>
        </w:tc>
        <w:tc>
          <w:tcPr>
            <w:tcW w:w="208" w:type="pct"/>
            <w:shd w:val="clear" w:color="000000" w:fill="FFFFFF"/>
            <w:noWrap/>
            <w:vAlign w:val="bottom"/>
            <w:hideMark/>
          </w:tcPr>
          <w:p w14:paraId="6A5C1F80" w14:textId="77777777" w:rsidR="00D254E3" w:rsidRPr="000A7FD1" w:rsidRDefault="00D254E3" w:rsidP="00D254E3">
            <w:pPr>
              <w:widowControl/>
              <w:adjustRightInd/>
              <w:spacing w:before="0" w:after="0"/>
              <w:textAlignment w:val="auto"/>
              <w:rPr>
                <w:rFonts w:cs="Arial"/>
                <w:color w:val="000000"/>
              </w:rPr>
            </w:pPr>
            <w:r w:rsidRPr="000A7FD1">
              <w:rPr>
                <w:rFonts w:cs="Arial"/>
                <w:color w:val="000000"/>
              </w:rPr>
              <w:t> </w:t>
            </w:r>
          </w:p>
        </w:tc>
        <w:tc>
          <w:tcPr>
            <w:tcW w:w="142" w:type="pct"/>
            <w:shd w:val="clear" w:color="000000" w:fill="FFFFFF"/>
            <w:noWrap/>
            <w:vAlign w:val="center"/>
            <w:hideMark/>
          </w:tcPr>
          <w:p w14:paraId="6B3173DF" w14:textId="77777777" w:rsidR="00D254E3" w:rsidRPr="000A7FD1" w:rsidRDefault="00D254E3" w:rsidP="00D254E3">
            <w:pPr>
              <w:widowControl/>
              <w:adjustRightInd/>
              <w:spacing w:before="0" w:after="0"/>
              <w:jc w:val="right"/>
              <w:textAlignment w:val="auto"/>
              <w:rPr>
                <w:rFonts w:cs="Arial"/>
                <w:b/>
                <w:bCs/>
                <w:color w:val="000000"/>
                <w:sz w:val="28"/>
                <w:szCs w:val="28"/>
              </w:rPr>
            </w:pPr>
            <w:r w:rsidRPr="000A7FD1">
              <w:rPr>
                <w:rFonts w:cs="Arial"/>
                <w:b/>
                <w:bCs/>
                <w:color w:val="000000"/>
                <w:sz w:val="28"/>
                <w:szCs w:val="28"/>
              </w:rPr>
              <w:t> </w:t>
            </w:r>
          </w:p>
        </w:tc>
        <w:tc>
          <w:tcPr>
            <w:tcW w:w="143" w:type="pct"/>
            <w:shd w:val="clear" w:color="000000" w:fill="FFFFFF"/>
            <w:noWrap/>
            <w:vAlign w:val="center"/>
            <w:hideMark/>
          </w:tcPr>
          <w:p w14:paraId="6337344F" w14:textId="5E8E817D" w:rsidR="00D254E3" w:rsidRPr="000A7FD1" w:rsidRDefault="00D254E3" w:rsidP="00D254E3">
            <w:pPr>
              <w:widowControl/>
              <w:adjustRightInd/>
              <w:spacing w:before="0" w:after="0"/>
              <w:textAlignment w:val="auto"/>
              <w:rPr>
                <w:rFonts w:cs="Arial"/>
                <w:b/>
                <w:bCs/>
                <w:color w:val="000000"/>
                <w:sz w:val="28"/>
                <w:szCs w:val="28"/>
                <w:u w:val="single"/>
              </w:rPr>
            </w:pPr>
          </w:p>
        </w:tc>
        <w:tc>
          <w:tcPr>
            <w:tcW w:w="714" w:type="pct"/>
            <w:gridSpan w:val="3"/>
            <w:tcBorders>
              <w:right w:val="nil"/>
            </w:tcBorders>
            <w:shd w:val="clear" w:color="000000" w:fill="FFFFFF"/>
            <w:noWrap/>
            <w:vAlign w:val="bottom"/>
            <w:hideMark/>
          </w:tcPr>
          <w:p w14:paraId="57DEB61B" w14:textId="77777777" w:rsidR="00D254E3" w:rsidRPr="000A7FD1" w:rsidRDefault="00D254E3" w:rsidP="00D254E3">
            <w:pPr>
              <w:widowControl/>
              <w:adjustRightInd/>
              <w:spacing w:before="0" w:after="0"/>
              <w:jc w:val="right"/>
              <w:textAlignment w:val="auto"/>
              <w:rPr>
                <w:rFonts w:cs="Arial"/>
                <w:color w:val="000000"/>
                <w:sz w:val="20"/>
                <w:szCs w:val="20"/>
              </w:rPr>
            </w:pPr>
            <w:r w:rsidRPr="000A7FD1">
              <w:rPr>
                <w:rFonts w:cs="Arial"/>
                <w:color w:val="000000"/>
                <w:sz w:val="20"/>
                <w:szCs w:val="20"/>
              </w:rPr>
              <w:t>Preparer &amp; Date:</w:t>
            </w:r>
          </w:p>
        </w:tc>
        <w:tc>
          <w:tcPr>
            <w:tcW w:w="587" w:type="pct"/>
            <w:gridSpan w:val="4"/>
            <w:tcBorders>
              <w:top w:val="nil"/>
              <w:left w:val="nil"/>
              <w:bottom w:val="single" w:sz="8" w:space="0" w:color="auto"/>
              <w:right w:val="nil"/>
            </w:tcBorders>
            <w:shd w:val="clear" w:color="000000" w:fill="FFFFFF"/>
            <w:noWrap/>
            <w:vAlign w:val="bottom"/>
            <w:hideMark/>
          </w:tcPr>
          <w:p w14:paraId="15FD09DF" w14:textId="77777777" w:rsidR="00D254E3" w:rsidRPr="000A7FD1" w:rsidRDefault="00D254E3" w:rsidP="00D254E3">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80" w:type="pct"/>
            <w:tcBorders>
              <w:top w:val="nil"/>
              <w:left w:val="nil"/>
              <w:bottom w:val="nil"/>
              <w:right w:val="nil"/>
            </w:tcBorders>
            <w:shd w:val="clear" w:color="000000" w:fill="FFFFFF"/>
            <w:noWrap/>
            <w:vAlign w:val="bottom"/>
            <w:hideMark/>
          </w:tcPr>
          <w:p w14:paraId="27705E3F" w14:textId="77777777" w:rsidR="00D254E3" w:rsidRPr="000A7FD1" w:rsidRDefault="00D254E3" w:rsidP="00D254E3">
            <w:pPr>
              <w:widowControl/>
              <w:adjustRightInd/>
              <w:spacing w:before="0" w:after="0"/>
              <w:jc w:val="right"/>
              <w:textAlignment w:val="auto"/>
              <w:rPr>
                <w:rFonts w:cs="Arial"/>
                <w:color w:val="000000"/>
                <w:sz w:val="20"/>
                <w:szCs w:val="20"/>
              </w:rPr>
            </w:pPr>
            <w:r w:rsidRPr="000A7FD1">
              <w:rPr>
                <w:rFonts w:cs="Arial"/>
                <w:color w:val="000000"/>
                <w:sz w:val="20"/>
                <w:szCs w:val="20"/>
              </w:rPr>
              <w:t> </w:t>
            </w:r>
          </w:p>
        </w:tc>
        <w:tc>
          <w:tcPr>
            <w:tcW w:w="993" w:type="pct"/>
            <w:gridSpan w:val="5"/>
            <w:tcBorders>
              <w:top w:val="nil"/>
              <w:left w:val="nil"/>
              <w:bottom w:val="single" w:sz="8" w:space="0" w:color="auto"/>
              <w:right w:val="nil"/>
            </w:tcBorders>
            <w:shd w:val="clear" w:color="000000" w:fill="FFFFFF"/>
            <w:noWrap/>
            <w:vAlign w:val="bottom"/>
            <w:hideMark/>
          </w:tcPr>
          <w:p w14:paraId="1CDC4D23" w14:textId="3B2BB0FF" w:rsidR="00D254E3" w:rsidRPr="000A7FD1" w:rsidRDefault="00D254E3" w:rsidP="00D254E3">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97" w:type="pct"/>
            <w:tcBorders>
              <w:left w:val="nil"/>
            </w:tcBorders>
            <w:shd w:val="clear" w:color="000000" w:fill="FFFFFF"/>
            <w:noWrap/>
            <w:vAlign w:val="bottom"/>
            <w:hideMark/>
          </w:tcPr>
          <w:p w14:paraId="4A87FEAC" w14:textId="77777777" w:rsidR="00D254E3" w:rsidRPr="000A7FD1" w:rsidRDefault="00D254E3" w:rsidP="00D254E3">
            <w:pPr>
              <w:widowControl/>
              <w:adjustRightInd/>
              <w:spacing w:before="0" w:after="0"/>
              <w:textAlignment w:val="auto"/>
              <w:rPr>
                <w:rFonts w:cs="Arial"/>
                <w:color w:val="000000"/>
                <w:sz w:val="20"/>
                <w:szCs w:val="20"/>
              </w:rPr>
            </w:pPr>
            <w:r w:rsidRPr="000A7FD1">
              <w:rPr>
                <w:rFonts w:cs="Arial"/>
                <w:color w:val="000000"/>
                <w:sz w:val="20"/>
                <w:szCs w:val="20"/>
              </w:rPr>
              <w:t> </w:t>
            </w:r>
          </w:p>
        </w:tc>
      </w:tr>
      <w:tr w:rsidR="00466064" w:rsidRPr="000A7FD1" w14:paraId="4368C2AC" w14:textId="77777777" w:rsidTr="00466064">
        <w:trPr>
          <w:trHeight w:val="405"/>
        </w:trPr>
        <w:tc>
          <w:tcPr>
            <w:tcW w:w="1156" w:type="pct"/>
            <w:gridSpan w:val="4"/>
            <w:vMerge/>
            <w:vAlign w:val="center"/>
            <w:hideMark/>
          </w:tcPr>
          <w:p w14:paraId="2141EEEC" w14:textId="77777777" w:rsidR="00466064" w:rsidRPr="000A7FD1" w:rsidRDefault="00466064" w:rsidP="00D254E3">
            <w:pPr>
              <w:widowControl/>
              <w:adjustRightInd/>
              <w:spacing w:before="0" w:after="0"/>
              <w:textAlignment w:val="auto"/>
              <w:rPr>
                <w:rFonts w:cs="Arial"/>
                <w:b/>
                <w:bCs/>
                <w:color w:val="000000"/>
              </w:rPr>
            </w:pPr>
          </w:p>
        </w:tc>
        <w:tc>
          <w:tcPr>
            <w:tcW w:w="787" w:type="pct"/>
            <w:gridSpan w:val="4"/>
            <w:tcBorders>
              <w:top w:val="nil"/>
              <w:bottom w:val="single" w:sz="8" w:space="0" w:color="auto"/>
            </w:tcBorders>
            <w:shd w:val="clear" w:color="auto" w:fill="auto"/>
            <w:noWrap/>
            <w:vAlign w:val="bottom"/>
            <w:hideMark/>
          </w:tcPr>
          <w:p w14:paraId="7AE6C4A3" w14:textId="5A39B755" w:rsidR="00466064" w:rsidRPr="00466064" w:rsidRDefault="00466064" w:rsidP="00D254E3">
            <w:pPr>
              <w:widowControl/>
              <w:adjustRightInd/>
              <w:spacing w:before="0" w:after="0"/>
              <w:textAlignment w:val="auto"/>
              <w:rPr>
                <w:rFonts w:cs="Arial"/>
                <w:color w:val="000000"/>
                <w:sz w:val="20"/>
                <w:szCs w:val="20"/>
              </w:rPr>
            </w:pPr>
            <w:r w:rsidRPr="00466064">
              <w:rPr>
                <w:rFonts w:cs="Arial"/>
                <w:color w:val="000000"/>
                <w:sz w:val="20"/>
                <w:szCs w:val="20"/>
              </w:rPr>
              <w:t>[e.g., Cash Receipts]</w:t>
            </w:r>
          </w:p>
        </w:tc>
        <w:tc>
          <w:tcPr>
            <w:tcW w:w="93" w:type="pct"/>
            <w:gridSpan w:val="2"/>
            <w:shd w:val="clear" w:color="000000" w:fill="FFFFFF"/>
            <w:noWrap/>
            <w:vAlign w:val="bottom"/>
            <w:hideMark/>
          </w:tcPr>
          <w:p w14:paraId="0212A11F" w14:textId="77777777" w:rsidR="00466064" w:rsidRPr="000A7FD1" w:rsidRDefault="00466064" w:rsidP="00D254E3">
            <w:pPr>
              <w:widowControl/>
              <w:adjustRightInd/>
              <w:spacing w:before="0" w:after="0"/>
              <w:textAlignment w:val="auto"/>
              <w:rPr>
                <w:rFonts w:cs="Arial"/>
                <w:color w:val="000000"/>
              </w:rPr>
            </w:pPr>
            <w:r w:rsidRPr="000A7FD1">
              <w:rPr>
                <w:rFonts w:cs="Arial"/>
                <w:color w:val="000000"/>
              </w:rPr>
              <w:t> </w:t>
            </w:r>
          </w:p>
        </w:tc>
        <w:tc>
          <w:tcPr>
            <w:tcW w:w="208" w:type="pct"/>
            <w:shd w:val="clear" w:color="000000" w:fill="FFFFFF"/>
            <w:noWrap/>
            <w:vAlign w:val="bottom"/>
            <w:hideMark/>
          </w:tcPr>
          <w:p w14:paraId="1FBBD823" w14:textId="77777777" w:rsidR="00466064" w:rsidRPr="000A7FD1" w:rsidRDefault="00466064" w:rsidP="00D254E3">
            <w:pPr>
              <w:widowControl/>
              <w:adjustRightInd/>
              <w:spacing w:before="0" w:after="0"/>
              <w:textAlignment w:val="auto"/>
              <w:rPr>
                <w:rFonts w:cs="Arial"/>
                <w:color w:val="000000"/>
              </w:rPr>
            </w:pPr>
            <w:r w:rsidRPr="000A7FD1">
              <w:rPr>
                <w:rFonts w:cs="Arial"/>
                <w:color w:val="000000"/>
              </w:rPr>
              <w:t> </w:t>
            </w:r>
          </w:p>
        </w:tc>
        <w:tc>
          <w:tcPr>
            <w:tcW w:w="142" w:type="pct"/>
            <w:shd w:val="clear" w:color="000000" w:fill="FFFFFF"/>
            <w:noWrap/>
            <w:vAlign w:val="center"/>
            <w:hideMark/>
          </w:tcPr>
          <w:p w14:paraId="045F8133" w14:textId="77777777" w:rsidR="00466064" w:rsidRPr="000A7FD1" w:rsidRDefault="00466064" w:rsidP="00D254E3">
            <w:pPr>
              <w:widowControl/>
              <w:adjustRightInd/>
              <w:spacing w:before="0" w:after="0"/>
              <w:textAlignment w:val="auto"/>
              <w:rPr>
                <w:rFonts w:cs="Arial"/>
                <w:color w:val="000000"/>
                <w:sz w:val="28"/>
                <w:szCs w:val="28"/>
              </w:rPr>
            </w:pPr>
            <w:r w:rsidRPr="000A7FD1">
              <w:rPr>
                <w:rFonts w:cs="Arial"/>
                <w:color w:val="000000"/>
                <w:sz w:val="28"/>
                <w:szCs w:val="28"/>
              </w:rPr>
              <w:t> </w:t>
            </w:r>
          </w:p>
        </w:tc>
        <w:tc>
          <w:tcPr>
            <w:tcW w:w="857" w:type="pct"/>
            <w:gridSpan w:val="4"/>
            <w:tcBorders>
              <w:right w:val="nil"/>
            </w:tcBorders>
            <w:shd w:val="clear" w:color="000000" w:fill="FFFFFF"/>
            <w:vAlign w:val="bottom"/>
            <w:hideMark/>
          </w:tcPr>
          <w:p w14:paraId="5EEC3AC5" w14:textId="77777777" w:rsidR="00466064" w:rsidRPr="000A7FD1" w:rsidRDefault="00466064" w:rsidP="00D254E3">
            <w:pPr>
              <w:widowControl/>
              <w:adjustRightInd/>
              <w:spacing w:before="0" w:after="0"/>
              <w:jc w:val="right"/>
              <w:textAlignment w:val="auto"/>
              <w:rPr>
                <w:rFonts w:cs="Arial"/>
                <w:color w:val="000000"/>
                <w:sz w:val="20"/>
                <w:szCs w:val="20"/>
              </w:rPr>
            </w:pPr>
            <w:r w:rsidRPr="000A7FD1">
              <w:rPr>
                <w:rFonts w:cs="Arial"/>
                <w:color w:val="000000"/>
                <w:sz w:val="20"/>
                <w:szCs w:val="20"/>
              </w:rPr>
              <w:t>Primary Reviewer &amp; Date:</w:t>
            </w:r>
          </w:p>
        </w:tc>
        <w:tc>
          <w:tcPr>
            <w:tcW w:w="587" w:type="pct"/>
            <w:gridSpan w:val="4"/>
            <w:tcBorders>
              <w:top w:val="single" w:sz="8" w:space="0" w:color="auto"/>
              <w:left w:val="nil"/>
              <w:bottom w:val="single" w:sz="8" w:space="0" w:color="auto"/>
              <w:right w:val="nil"/>
            </w:tcBorders>
            <w:shd w:val="clear" w:color="000000" w:fill="FFFFFF"/>
            <w:noWrap/>
            <w:vAlign w:val="bottom"/>
            <w:hideMark/>
          </w:tcPr>
          <w:p w14:paraId="27978F14" w14:textId="77777777" w:rsidR="00466064" w:rsidRPr="000A7FD1" w:rsidRDefault="00466064" w:rsidP="00D254E3">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80" w:type="pct"/>
            <w:tcBorders>
              <w:top w:val="nil"/>
              <w:left w:val="nil"/>
              <w:bottom w:val="nil"/>
              <w:right w:val="nil"/>
            </w:tcBorders>
            <w:shd w:val="clear" w:color="000000" w:fill="FFFFFF"/>
            <w:noWrap/>
            <w:vAlign w:val="bottom"/>
            <w:hideMark/>
          </w:tcPr>
          <w:p w14:paraId="7C58C13D" w14:textId="77777777" w:rsidR="00466064" w:rsidRPr="000A7FD1" w:rsidRDefault="00466064" w:rsidP="00D254E3">
            <w:pPr>
              <w:widowControl/>
              <w:adjustRightInd/>
              <w:spacing w:before="0" w:after="0"/>
              <w:jc w:val="right"/>
              <w:textAlignment w:val="auto"/>
              <w:rPr>
                <w:rFonts w:cs="Arial"/>
                <w:color w:val="000000"/>
                <w:sz w:val="20"/>
                <w:szCs w:val="20"/>
              </w:rPr>
            </w:pPr>
            <w:r w:rsidRPr="000A7FD1">
              <w:rPr>
                <w:rFonts w:cs="Arial"/>
                <w:color w:val="000000"/>
                <w:sz w:val="20"/>
                <w:szCs w:val="20"/>
              </w:rPr>
              <w:t> </w:t>
            </w:r>
          </w:p>
        </w:tc>
        <w:tc>
          <w:tcPr>
            <w:tcW w:w="993" w:type="pct"/>
            <w:gridSpan w:val="5"/>
            <w:tcBorders>
              <w:top w:val="single" w:sz="8" w:space="0" w:color="auto"/>
              <w:left w:val="nil"/>
              <w:bottom w:val="single" w:sz="8" w:space="0" w:color="auto"/>
              <w:right w:val="nil"/>
            </w:tcBorders>
            <w:shd w:val="clear" w:color="000000" w:fill="FFFFFF"/>
            <w:noWrap/>
            <w:vAlign w:val="bottom"/>
            <w:hideMark/>
          </w:tcPr>
          <w:p w14:paraId="73FA2C3B" w14:textId="77777777" w:rsidR="00466064" w:rsidRPr="000A7FD1" w:rsidRDefault="00466064" w:rsidP="00D254E3">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97" w:type="pct"/>
            <w:tcBorders>
              <w:left w:val="nil"/>
            </w:tcBorders>
            <w:shd w:val="clear" w:color="000000" w:fill="FFFFFF"/>
            <w:noWrap/>
            <w:vAlign w:val="bottom"/>
            <w:hideMark/>
          </w:tcPr>
          <w:p w14:paraId="5F7FC300" w14:textId="77777777" w:rsidR="00466064" w:rsidRPr="000A7FD1" w:rsidRDefault="00466064" w:rsidP="00D254E3">
            <w:pPr>
              <w:widowControl/>
              <w:adjustRightInd/>
              <w:spacing w:before="0" w:after="0"/>
              <w:textAlignment w:val="auto"/>
              <w:rPr>
                <w:rFonts w:cs="Arial"/>
                <w:color w:val="000000"/>
                <w:sz w:val="20"/>
                <w:szCs w:val="20"/>
              </w:rPr>
            </w:pPr>
            <w:r w:rsidRPr="000A7FD1">
              <w:rPr>
                <w:rFonts w:cs="Arial"/>
                <w:color w:val="000000"/>
                <w:sz w:val="20"/>
                <w:szCs w:val="20"/>
              </w:rPr>
              <w:t> </w:t>
            </w:r>
          </w:p>
        </w:tc>
      </w:tr>
      <w:tr w:rsidR="00AC010F" w:rsidRPr="000A7FD1" w14:paraId="2FA7D9F0" w14:textId="77777777" w:rsidTr="00D71ED5">
        <w:trPr>
          <w:trHeight w:val="60"/>
        </w:trPr>
        <w:tc>
          <w:tcPr>
            <w:tcW w:w="1156" w:type="pct"/>
            <w:gridSpan w:val="4"/>
            <w:tcBorders>
              <w:bottom w:val="single" w:sz="12" w:space="0" w:color="auto"/>
            </w:tcBorders>
            <w:vAlign w:val="center"/>
          </w:tcPr>
          <w:p w14:paraId="2FE9FADE" w14:textId="77777777" w:rsidR="00D254E3" w:rsidRPr="000A7FD1" w:rsidRDefault="00D254E3" w:rsidP="00D254E3">
            <w:pPr>
              <w:widowControl/>
              <w:adjustRightInd/>
              <w:spacing w:before="0" w:after="0"/>
              <w:textAlignment w:val="auto"/>
              <w:rPr>
                <w:rFonts w:cs="Arial"/>
                <w:b/>
                <w:bCs/>
                <w:color w:val="000000"/>
                <w:sz w:val="4"/>
                <w:szCs w:val="4"/>
              </w:rPr>
            </w:pPr>
          </w:p>
        </w:tc>
        <w:tc>
          <w:tcPr>
            <w:tcW w:w="629" w:type="pct"/>
            <w:gridSpan w:val="3"/>
            <w:tcBorders>
              <w:top w:val="single" w:sz="8" w:space="0" w:color="auto"/>
              <w:bottom w:val="single" w:sz="12" w:space="0" w:color="auto"/>
            </w:tcBorders>
            <w:shd w:val="clear" w:color="auto" w:fill="auto"/>
            <w:noWrap/>
            <w:vAlign w:val="bottom"/>
          </w:tcPr>
          <w:p w14:paraId="3E49D60A" w14:textId="77777777" w:rsidR="00D254E3" w:rsidRPr="000A7FD1" w:rsidRDefault="00D254E3" w:rsidP="00D254E3">
            <w:pPr>
              <w:widowControl/>
              <w:adjustRightInd/>
              <w:spacing w:before="0" w:after="0"/>
              <w:textAlignment w:val="auto"/>
              <w:rPr>
                <w:rFonts w:cs="Arial"/>
                <w:color w:val="000000"/>
              </w:rPr>
            </w:pPr>
          </w:p>
        </w:tc>
        <w:tc>
          <w:tcPr>
            <w:tcW w:w="158" w:type="pct"/>
            <w:tcBorders>
              <w:top w:val="single" w:sz="8" w:space="0" w:color="auto"/>
              <w:bottom w:val="single" w:sz="12" w:space="0" w:color="auto"/>
            </w:tcBorders>
            <w:shd w:val="clear" w:color="000000" w:fill="FFFFFF"/>
            <w:noWrap/>
            <w:vAlign w:val="bottom"/>
          </w:tcPr>
          <w:p w14:paraId="31A50ABC" w14:textId="77777777" w:rsidR="00D254E3" w:rsidRPr="000A7FD1" w:rsidRDefault="00D254E3" w:rsidP="00D254E3">
            <w:pPr>
              <w:widowControl/>
              <w:adjustRightInd/>
              <w:spacing w:before="0" w:after="0"/>
              <w:textAlignment w:val="auto"/>
              <w:rPr>
                <w:rFonts w:cs="Arial"/>
                <w:color w:val="000000"/>
              </w:rPr>
            </w:pPr>
          </w:p>
        </w:tc>
        <w:tc>
          <w:tcPr>
            <w:tcW w:w="93" w:type="pct"/>
            <w:gridSpan w:val="2"/>
            <w:tcBorders>
              <w:bottom w:val="single" w:sz="12" w:space="0" w:color="auto"/>
            </w:tcBorders>
            <w:shd w:val="clear" w:color="000000" w:fill="FFFFFF"/>
            <w:noWrap/>
            <w:vAlign w:val="bottom"/>
          </w:tcPr>
          <w:p w14:paraId="2399A49E" w14:textId="77777777" w:rsidR="00D254E3" w:rsidRPr="000A7FD1" w:rsidRDefault="00D254E3" w:rsidP="00D254E3">
            <w:pPr>
              <w:widowControl/>
              <w:adjustRightInd/>
              <w:spacing w:before="0" w:after="0"/>
              <w:textAlignment w:val="auto"/>
              <w:rPr>
                <w:rFonts w:cs="Arial"/>
                <w:color w:val="000000"/>
              </w:rPr>
            </w:pPr>
          </w:p>
        </w:tc>
        <w:tc>
          <w:tcPr>
            <w:tcW w:w="208" w:type="pct"/>
            <w:tcBorders>
              <w:bottom w:val="single" w:sz="12" w:space="0" w:color="auto"/>
            </w:tcBorders>
            <w:shd w:val="clear" w:color="000000" w:fill="FFFFFF"/>
            <w:noWrap/>
            <w:vAlign w:val="bottom"/>
          </w:tcPr>
          <w:p w14:paraId="584CFE77" w14:textId="77777777" w:rsidR="00D254E3" w:rsidRPr="000A7FD1" w:rsidRDefault="00D254E3" w:rsidP="00D254E3">
            <w:pPr>
              <w:widowControl/>
              <w:adjustRightInd/>
              <w:spacing w:before="0" w:after="0"/>
              <w:textAlignment w:val="auto"/>
              <w:rPr>
                <w:rFonts w:cs="Arial"/>
                <w:color w:val="000000"/>
              </w:rPr>
            </w:pPr>
          </w:p>
        </w:tc>
        <w:tc>
          <w:tcPr>
            <w:tcW w:w="142" w:type="pct"/>
            <w:tcBorders>
              <w:bottom w:val="single" w:sz="12" w:space="0" w:color="auto"/>
            </w:tcBorders>
            <w:shd w:val="clear" w:color="000000" w:fill="FFFFFF"/>
            <w:noWrap/>
            <w:vAlign w:val="center"/>
          </w:tcPr>
          <w:p w14:paraId="1CCAF67F" w14:textId="77777777" w:rsidR="00D254E3" w:rsidRPr="000A7FD1" w:rsidRDefault="00D254E3" w:rsidP="00D254E3">
            <w:pPr>
              <w:widowControl/>
              <w:adjustRightInd/>
              <w:spacing w:before="0" w:after="0"/>
              <w:textAlignment w:val="auto"/>
              <w:rPr>
                <w:rFonts w:cs="Arial"/>
                <w:color w:val="000000"/>
                <w:sz w:val="28"/>
                <w:szCs w:val="28"/>
              </w:rPr>
            </w:pPr>
          </w:p>
        </w:tc>
        <w:tc>
          <w:tcPr>
            <w:tcW w:w="857" w:type="pct"/>
            <w:gridSpan w:val="4"/>
            <w:tcBorders>
              <w:bottom w:val="single" w:sz="12" w:space="0" w:color="auto"/>
              <w:right w:val="nil"/>
            </w:tcBorders>
            <w:shd w:val="clear" w:color="000000" w:fill="FFFFFF"/>
            <w:vAlign w:val="bottom"/>
          </w:tcPr>
          <w:p w14:paraId="315F22C1" w14:textId="77777777" w:rsidR="00D254E3" w:rsidRPr="000A7FD1" w:rsidRDefault="00D254E3" w:rsidP="00D254E3">
            <w:pPr>
              <w:widowControl/>
              <w:adjustRightInd/>
              <w:spacing w:before="0" w:after="0"/>
              <w:jc w:val="right"/>
              <w:textAlignment w:val="auto"/>
              <w:rPr>
                <w:rFonts w:cs="Arial"/>
                <w:color w:val="000000"/>
                <w:sz w:val="20"/>
                <w:szCs w:val="20"/>
              </w:rPr>
            </w:pPr>
          </w:p>
        </w:tc>
        <w:tc>
          <w:tcPr>
            <w:tcW w:w="587" w:type="pct"/>
            <w:gridSpan w:val="4"/>
            <w:tcBorders>
              <w:top w:val="single" w:sz="8" w:space="0" w:color="auto"/>
              <w:left w:val="nil"/>
              <w:bottom w:val="single" w:sz="12" w:space="0" w:color="auto"/>
              <w:right w:val="nil"/>
            </w:tcBorders>
            <w:shd w:val="clear" w:color="000000" w:fill="FFFFFF"/>
            <w:noWrap/>
            <w:vAlign w:val="bottom"/>
          </w:tcPr>
          <w:p w14:paraId="29C51DEE" w14:textId="77777777" w:rsidR="00D254E3" w:rsidRPr="000A7FD1" w:rsidRDefault="00D254E3" w:rsidP="00D254E3">
            <w:pPr>
              <w:widowControl/>
              <w:adjustRightInd/>
              <w:spacing w:before="0" w:after="0"/>
              <w:textAlignment w:val="auto"/>
              <w:rPr>
                <w:rFonts w:cs="Arial"/>
                <w:color w:val="000000"/>
                <w:sz w:val="20"/>
                <w:szCs w:val="20"/>
              </w:rPr>
            </w:pPr>
          </w:p>
        </w:tc>
        <w:tc>
          <w:tcPr>
            <w:tcW w:w="80" w:type="pct"/>
            <w:tcBorders>
              <w:top w:val="nil"/>
              <w:left w:val="nil"/>
              <w:bottom w:val="single" w:sz="12" w:space="0" w:color="auto"/>
              <w:right w:val="nil"/>
            </w:tcBorders>
            <w:shd w:val="clear" w:color="000000" w:fill="FFFFFF"/>
            <w:noWrap/>
            <w:vAlign w:val="bottom"/>
          </w:tcPr>
          <w:p w14:paraId="0A1A08CF" w14:textId="77777777" w:rsidR="00D254E3" w:rsidRPr="000A7FD1" w:rsidRDefault="00D254E3" w:rsidP="00D254E3">
            <w:pPr>
              <w:widowControl/>
              <w:adjustRightInd/>
              <w:spacing w:before="0" w:after="0"/>
              <w:jc w:val="right"/>
              <w:textAlignment w:val="auto"/>
              <w:rPr>
                <w:rFonts w:cs="Arial"/>
                <w:color w:val="000000"/>
                <w:sz w:val="20"/>
                <w:szCs w:val="20"/>
              </w:rPr>
            </w:pPr>
          </w:p>
        </w:tc>
        <w:tc>
          <w:tcPr>
            <w:tcW w:w="993" w:type="pct"/>
            <w:gridSpan w:val="5"/>
            <w:tcBorders>
              <w:top w:val="single" w:sz="8" w:space="0" w:color="auto"/>
              <w:left w:val="nil"/>
              <w:bottom w:val="single" w:sz="12" w:space="0" w:color="auto"/>
              <w:right w:val="nil"/>
            </w:tcBorders>
            <w:shd w:val="clear" w:color="000000" w:fill="FFFFFF"/>
            <w:noWrap/>
            <w:vAlign w:val="bottom"/>
          </w:tcPr>
          <w:p w14:paraId="23D09C68" w14:textId="77777777" w:rsidR="00D254E3" w:rsidRPr="000A7FD1" w:rsidRDefault="00D254E3" w:rsidP="00D254E3">
            <w:pPr>
              <w:widowControl/>
              <w:adjustRightInd/>
              <w:spacing w:before="0" w:after="0"/>
              <w:textAlignment w:val="auto"/>
              <w:rPr>
                <w:rFonts w:cs="Arial"/>
                <w:color w:val="000000"/>
                <w:sz w:val="20"/>
                <w:szCs w:val="20"/>
              </w:rPr>
            </w:pPr>
          </w:p>
        </w:tc>
        <w:tc>
          <w:tcPr>
            <w:tcW w:w="97" w:type="pct"/>
            <w:tcBorders>
              <w:left w:val="nil"/>
              <w:bottom w:val="single" w:sz="12" w:space="0" w:color="auto"/>
            </w:tcBorders>
            <w:shd w:val="clear" w:color="000000" w:fill="FFFFFF"/>
            <w:noWrap/>
            <w:vAlign w:val="bottom"/>
          </w:tcPr>
          <w:p w14:paraId="150D05E5" w14:textId="77777777" w:rsidR="00D254E3" w:rsidRPr="000A7FD1" w:rsidRDefault="00D254E3" w:rsidP="00D254E3">
            <w:pPr>
              <w:widowControl/>
              <w:adjustRightInd/>
              <w:spacing w:before="0" w:after="0"/>
              <w:textAlignment w:val="auto"/>
              <w:rPr>
                <w:rFonts w:cs="Arial"/>
                <w:color w:val="000000"/>
                <w:sz w:val="20"/>
                <w:szCs w:val="20"/>
              </w:rPr>
            </w:pPr>
          </w:p>
        </w:tc>
      </w:tr>
      <w:tr w:rsidR="00AC010F" w:rsidRPr="000A7FD1" w14:paraId="6A6D3B62" w14:textId="77777777" w:rsidTr="00D71ED5">
        <w:tblPrEx>
          <w:tblBorders>
            <w:top w:val="none" w:sz="0" w:space="0" w:color="auto"/>
            <w:left w:val="none" w:sz="0" w:space="0" w:color="auto"/>
            <w:bottom w:val="none" w:sz="0" w:space="0" w:color="auto"/>
            <w:right w:val="none" w:sz="0" w:space="0" w:color="auto"/>
          </w:tblBorders>
        </w:tblPrEx>
        <w:trPr>
          <w:trHeight w:val="990"/>
        </w:trPr>
        <w:tc>
          <w:tcPr>
            <w:tcW w:w="945" w:type="pct"/>
            <w:gridSpan w:val="3"/>
            <w:tcBorders>
              <w:top w:val="single" w:sz="12" w:space="0" w:color="auto"/>
              <w:left w:val="single" w:sz="12" w:space="0" w:color="auto"/>
              <w:bottom w:val="single" w:sz="4" w:space="0" w:color="auto"/>
              <w:right w:val="nil"/>
            </w:tcBorders>
            <w:shd w:val="clear" w:color="auto" w:fill="auto"/>
            <w:vAlign w:val="center"/>
            <w:hideMark/>
          </w:tcPr>
          <w:p w14:paraId="247F4059" w14:textId="77777777" w:rsidR="00AC4220" w:rsidRPr="000A7FD1" w:rsidRDefault="00AC4220" w:rsidP="00AC4220">
            <w:pPr>
              <w:widowControl/>
              <w:adjustRightInd/>
              <w:spacing w:before="0" w:after="0"/>
              <w:jc w:val="center"/>
              <w:textAlignment w:val="auto"/>
              <w:rPr>
                <w:rFonts w:cs="Arial"/>
                <w:b/>
                <w:bCs/>
                <w:sz w:val="18"/>
                <w:szCs w:val="18"/>
              </w:rPr>
            </w:pPr>
            <w:r w:rsidRPr="000A7FD1">
              <w:rPr>
                <w:rFonts w:cs="Arial"/>
                <w:b/>
                <w:bCs/>
                <w:sz w:val="18"/>
                <w:szCs w:val="18"/>
              </w:rPr>
              <w:t xml:space="preserve">IDENTIFIED RISKS OF </w:t>
            </w:r>
            <w:r w:rsidRPr="000A7FD1">
              <w:rPr>
                <w:rFonts w:cs="Arial"/>
                <w:b/>
                <w:bCs/>
                <w:sz w:val="18"/>
                <w:szCs w:val="18"/>
              </w:rPr>
              <w:br/>
              <w:t xml:space="preserve">MATERIAL MISSTATEMENT </w:t>
            </w:r>
            <w:r w:rsidRPr="000A7FD1">
              <w:rPr>
                <w:rFonts w:cs="Arial"/>
                <w:b/>
                <w:bCs/>
                <w:sz w:val="18"/>
                <w:szCs w:val="18"/>
              </w:rPr>
              <w:br/>
              <w:t>AT THE ASSERTION LEVEL</w:t>
            </w:r>
          </w:p>
        </w:tc>
        <w:tc>
          <w:tcPr>
            <w:tcW w:w="1019" w:type="pct"/>
            <w:gridSpan w:val="6"/>
            <w:tcBorders>
              <w:top w:val="single" w:sz="12" w:space="0" w:color="auto"/>
              <w:left w:val="single" w:sz="8" w:space="0" w:color="auto"/>
              <w:bottom w:val="single" w:sz="4" w:space="0" w:color="auto"/>
              <w:right w:val="single" w:sz="8" w:space="0" w:color="000000"/>
            </w:tcBorders>
            <w:shd w:val="clear" w:color="auto" w:fill="auto"/>
            <w:vAlign w:val="center"/>
            <w:hideMark/>
          </w:tcPr>
          <w:p w14:paraId="40D46070" w14:textId="15541CC8" w:rsidR="00AC4220" w:rsidRPr="000A7FD1" w:rsidRDefault="00AC4220" w:rsidP="00AC4220">
            <w:pPr>
              <w:widowControl/>
              <w:adjustRightInd/>
              <w:spacing w:before="0" w:after="0"/>
              <w:jc w:val="center"/>
              <w:textAlignment w:val="auto"/>
              <w:rPr>
                <w:rFonts w:cs="Arial"/>
                <w:b/>
                <w:bCs/>
                <w:color w:val="000000"/>
                <w:sz w:val="18"/>
                <w:szCs w:val="18"/>
              </w:rPr>
            </w:pPr>
            <w:r w:rsidRPr="000A7FD1">
              <w:rPr>
                <w:rFonts w:cs="Arial"/>
                <w:b/>
                <w:bCs/>
                <w:color w:val="000000"/>
                <w:sz w:val="18"/>
                <w:szCs w:val="18"/>
              </w:rPr>
              <w:t xml:space="preserve">INHERENT RISK ASSESSMENT </w:t>
            </w:r>
            <w:r w:rsidRPr="000A7FD1">
              <w:rPr>
                <w:rFonts w:cs="Arial"/>
                <w:b/>
                <w:bCs/>
                <w:color w:val="000000"/>
                <w:sz w:val="18"/>
                <w:szCs w:val="18"/>
              </w:rPr>
              <w:br/>
            </w:r>
            <w:r w:rsidRPr="000A7FD1">
              <w:rPr>
                <w:rFonts w:cs="Arial"/>
                <w:color w:val="000000"/>
                <w:sz w:val="18"/>
                <w:szCs w:val="18"/>
              </w:rPr>
              <w:t>(from LIRA)</w:t>
            </w:r>
          </w:p>
        </w:tc>
        <w:tc>
          <w:tcPr>
            <w:tcW w:w="72" w:type="pct"/>
            <w:tcBorders>
              <w:top w:val="single" w:sz="12" w:space="0" w:color="auto"/>
              <w:left w:val="nil"/>
              <w:bottom w:val="single" w:sz="4" w:space="0" w:color="auto"/>
              <w:right w:val="nil"/>
            </w:tcBorders>
            <w:shd w:val="clear" w:color="000000" w:fill="000000"/>
            <w:vAlign w:val="center"/>
            <w:hideMark/>
          </w:tcPr>
          <w:p w14:paraId="2E8474D1" w14:textId="678CE9FF" w:rsidR="00AC4220" w:rsidRPr="000A7FD1" w:rsidRDefault="00AC4220" w:rsidP="00AC4220">
            <w:pPr>
              <w:widowControl/>
              <w:adjustRightInd/>
              <w:spacing w:before="0" w:after="0"/>
              <w:jc w:val="center"/>
              <w:textAlignment w:val="auto"/>
              <w:rPr>
                <w:rFonts w:cs="Arial"/>
                <w:b/>
                <w:bCs/>
                <w:color w:val="000000"/>
                <w:sz w:val="18"/>
                <w:szCs w:val="18"/>
              </w:rPr>
            </w:pPr>
          </w:p>
        </w:tc>
        <w:tc>
          <w:tcPr>
            <w:tcW w:w="1262" w:type="pct"/>
            <w:gridSpan w:val="7"/>
            <w:tcBorders>
              <w:top w:val="single" w:sz="12" w:space="0" w:color="auto"/>
              <w:left w:val="single" w:sz="8" w:space="0" w:color="auto"/>
              <w:bottom w:val="single" w:sz="4" w:space="0" w:color="auto"/>
              <w:right w:val="single" w:sz="8" w:space="0" w:color="000000"/>
            </w:tcBorders>
            <w:shd w:val="clear" w:color="auto" w:fill="auto"/>
            <w:vAlign w:val="center"/>
            <w:hideMark/>
          </w:tcPr>
          <w:p w14:paraId="2A823E62" w14:textId="51193451" w:rsidR="00AC4220" w:rsidRPr="000A7FD1" w:rsidRDefault="00AC4220" w:rsidP="00AC4220">
            <w:pPr>
              <w:widowControl/>
              <w:adjustRightInd/>
              <w:spacing w:before="0" w:after="0"/>
              <w:jc w:val="center"/>
              <w:textAlignment w:val="auto"/>
              <w:rPr>
                <w:rFonts w:cs="Arial"/>
                <w:b/>
                <w:bCs/>
                <w:color w:val="000000"/>
                <w:sz w:val="18"/>
                <w:szCs w:val="18"/>
              </w:rPr>
            </w:pPr>
            <w:r w:rsidRPr="000A7FD1">
              <w:rPr>
                <w:rFonts w:cs="Arial"/>
                <w:b/>
                <w:bCs/>
                <w:color w:val="000000"/>
                <w:sz w:val="18"/>
                <w:szCs w:val="18"/>
              </w:rPr>
              <w:t xml:space="preserve">CONTROL OBJECTIVES AND ACTIVITIES </w:t>
            </w:r>
            <w:r w:rsidRPr="000A7FD1">
              <w:rPr>
                <w:rFonts w:cs="Arial"/>
                <w:b/>
                <w:bCs/>
                <w:color w:val="000000"/>
                <w:sz w:val="18"/>
                <w:szCs w:val="18"/>
              </w:rPr>
              <w:br/>
            </w:r>
          </w:p>
        </w:tc>
        <w:tc>
          <w:tcPr>
            <w:tcW w:w="510" w:type="pct"/>
            <w:gridSpan w:val="2"/>
            <w:tcBorders>
              <w:top w:val="single" w:sz="12" w:space="0" w:color="auto"/>
              <w:left w:val="nil"/>
              <w:bottom w:val="single" w:sz="4" w:space="0" w:color="auto"/>
              <w:right w:val="single" w:sz="8" w:space="0" w:color="000000"/>
            </w:tcBorders>
            <w:shd w:val="clear" w:color="auto" w:fill="auto"/>
            <w:vAlign w:val="center"/>
            <w:hideMark/>
          </w:tcPr>
          <w:p w14:paraId="61A001E0" w14:textId="77777777" w:rsidR="00AC4220" w:rsidRPr="000A7FD1" w:rsidRDefault="00AC4220" w:rsidP="00AC4220">
            <w:pPr>
              <w:widowControl/>
              <w:adjustRightInd/>
              <w:spacing w:before="0" w:after="0"/>
              <w:jc w:val="center"/>
              <w:textAlignment w:val="auto"/>
              <w:rPr>
                <w:rFonts w:cs="Arial"/>
                <w:b/>
                <w:bCs/>
                <w:color w:val="000000"/>
                <w:sz w:val="18"/>
                <w:szCs w:val="18"/>
              </w:rPr>
            </w:pPr>
            <w:r w:rsidRPr="000A7FD1">
              <w:rPr>
                <w:rFonts w:cs="Arial"/>
                <w:b/>
                <w:bCs/>
                <w:color w:val="000000"/>
                <w:sz w:val="18"/>
                <w:szCs w:val="18"/>
              </w:rPr>
              <w:t>DESIGN AND IMPLEMENTATION OF CONTROL ACTIVITIES</w:t>
            </w:r>
          </w:p>
        </w:tc>
        <w:tc>
          <w:tcPr>
            <w:tcW w:w="1192" w:type="pct"/>
            <w:gridSpan w:val="8"/>
            <w:tcBorders>
              <w:top w:val="single" w:sz="12" w:space="0" w:color="auto"/>
              <w:left w:val="nil"/>
              <w:bottom w:val="single" w:sz="4" w:space="0" w:color="auto"/>
              <w:right w:val="single" w:sz="12" w:space="0" w:color="auto"/>
            </w:tcBorders>
            <w:shd w:val="clear" w:color="auto" w:fill="auto"/>
            <w:vAlign w:val="center"/>
            <w:hideMark/>
          </w:tcPr>
          <w:p w14:paraId="5274EB21" w14:textId="2DD8ED53" w:rsidR="00AC4220" w:rsidRPr="000A7FD1" w:rsidRDefault="00AC4220" w:rsidP="00D329D8">
            <w:pPr>
              <w:widowControl/>
              <w:adjustRightInd/>
              <w:spacing w:before="0" w:after="0"/>
              <w:jc w:val="center"/>
              <w:textAlignment w:val="auto"/>
              <w:rPr>
                <w:rFonts w:cs="Arial"/>
                <w:b/>
                <w:bCs/>
                <w:color w:val="000000"/>
                <w:sz w:val="18"/>
                <w:szCs w:val="18"/>
              </w:rPr>
            </w:pPr>
            <w:r w:rsidRPr="000A7FD1">
              <w:rPr>
                <w:rFonts w:cs="Arial"/>
                <w:b/>
                <w:bCs/>
                <w:color w:val="000000"/>
                <w:sz w:val="18"/>
                <w:szCs w:val="18"/>
              </w:rPr>
              <w:t xml:space="preserve">CONTROL </w:t>
            </w:r>
            <w:r w:rsidR="00D329D8" w:rsidRPr="000A7FD1">
              <w:rPr>
                <w:rFonts w:cs="Arial"/>
                <w:b/>
                <w:bCs/>
                <w:color w:val="000000"/>
                <w:sz w:val="18"/>
                <w:szCs w:val="18"/>
              </w:rPr>
              <w:t>RISK ASSESSMENT</w:t>
            </w:r>
          </w:p>
        </w:tc>
      </w:tr>
      <w:tr w:rsidR="00AC010F" w:rsidRPr="000A7FD1" w14:paraId="15DDBABA" w14:textId="77777777" w:rsidTr="00D71ED5">
        <w:tblPrEx>
          <w:tblBorders>
            <w:top w:val="none" w:sz="0" w:space="0" w:color="auto"/>
            <w:left w:val="none" w:sz="0" w:space="0" w:color="auto"/>
            <w:bottom w:val="none" w:sz="0" w:space="0" w:color="auto"/>
            <w:right w:val="none" w:sz="0" w:space="0" w:color="auto"/>
          </w:tblBorders>
        </w:tblPrEx>
        <w:trPr>
          <w:trHeight w:val="1725"/>
        </w:trPr>
        <w:tc>
          <w:tcPr>
            <w:tcW w:w="410" w:type="pct"/>
            <w:tcBorders>
              <w:top w:val="nil"/>
              <w:left w:val="single" w:sz="12" w:space="0" w:color="auto"/>
              <w:bottom w:val="double" w:sz="6" w:space="0" w:color="auto"/>
              <w:right w:val="single" w:sz="4" w:space="0" w:color="auto"/>
            </w:tcBorders>
            <w:shd w:val="clear" w:color="auto" w:fill="auto"/>
            <w:tcMar>
              <w:left w:w="0" w:type="dxa"/>
              <w:right w:w="0" w:type="dxa"/>
            </w:tcMar>
            <w:vAlign w:val="center"/>
            <w:hideMark/>
          </w:tcPr>
          <w:p w14:paraId="7B8C1C1A" w14:textId="19F9A8BB" w:rsidR="00AC4220" w:rsidRPr="000A7FD1" w:rsidRDefault="00AC4220" w:rsidP="00AC4220">
            <w:pPr>
              <w:widowControl/>
              <w:adjustRightInd/>
              <w:spacing w:before="0" w:after="0"/>
              <w:jc w:val="center"/>
              <w:textAlignment w:val="auto"/>
              <w:rPr>
                <w:rFonts w:cs="Arial"/>
                <w:b/>
                <w:bCs/>
                <w:sz w:val="18"/>
                <w:szCs w:val="18"/>
              </w:rPr>
            </w:pPr>
            <w:r w:rsidRPr="000A7FD1">
              <w:rPr>
                <w:rFonts w:cs="Arial"/>
                <w:b/>
                <w:bCs/>
                <w:sz w:val="18"/>
                <w:szCs w:val="18"/>
              </w:rPr>
              <w:t>Assertions</w:t>
            </w:r>
          </w:p>
        </w:tc>
        <w:tc>
          <w:tcPr>
            <w:tcW w:w="535" w:type="pct"/>
            <w:gridSpan w:val="2"/>
            <w:tcBorders>
              <w:top w:val="nil"/>
              <w:left w:val="nil"/>
              <w:bottom w:val="double" w:sz="6" w:space="0" w:color="auto"/>
              <w:right w:val="nil"/>
            </w:tcBorders>
            <w:shd w:val="clear" w:color="auto" w:fill="auto"/>
            <w:tcMar>
              <w:left w:w="0" w:type="dxa"/>
              <w:right w:w="0" w:type="dxa"/>
            </w:tcMar>
            <w:vAlign w:val="center"/>
            <w:hideMark/>
          </w:tcPr>
          <w:p w14:paraId="491F1B2A" w14:textId="77777777" w:rsidR="00AC4220" w:rsidRPr="000A7FD1" w:rsidRDefault="00AC4220" w:rsidP="00AC4220">
            <w:pPr>
              <w:widowControl/>
              <w:adjustRightInd/>
              <w:spacing w:before="0" w:after="0"/>
              <w:jc w:val="center"/>
              <w:textAlignment w:val="auto"/>
              <w:rPr>
                <w:rFonts w:cs="Arial"/>
                <w:b/>
                <w:bCs/>
                <w:sz w:val="18"/>
                <w:szCs w:val="18"/>
              </w:rPr>
            </w:pPr>
            <w:r w:rsidRPr="000A7FD1">
              <w:rPr>
                <w:rFonts w:cs="Arial"/>
                <w:b/>
                <w:bCs/>
                <w:sz w:val="18"/>
                <w:szCs w:val="18"/>
              </w:rPr>
              <w:t>Identified Risks of Material Misstatement</w:t>
            </w:r>
          </w:p>
        </w:tc>
        <w:tc>
          <w:tcPr>
            <w:tcW w:w="349" w:type="pct"/>
            <w:gridSpan w:val="2"/>
            <w:tcBorders>
              <w:top w:val="nil"/>
              <w:left w:val="single" w:sz="8" w:space="0" w:color="auto"/>
              <w:bottom w:val="double" w:sz="6" w:space="0" w:color="auto"/>
              <w:right w:val="nil"/>
            </w:tcBorders>
            <w:shd w:val="clear" w:color="auto" w:fill="auto"/>
            <w:tcMar>
              <w:left w:w="0" w:type="dxa"/>
              <w:right w:w="0" w:type="dxa"/>
            </w:tcMar>
            <w:vAlign w:val="center"/>
            <w:hideMark/>
          </w:tcPr>
          <w:p w14:paraId="4961EEB4" w14:textId="7BA9D30F" w:rsidR="00AC4220" w:rsidRPr="000A7FD1" w:rsidRDefault="00AC4220" w:rsidP="00AC4220">
            <w:pPr>
              <w:widowControl/>
              <w:adjustRightInd/>
              <w:spacing w:before="0" w:after="0"/>
              <w:jc w:val="center"/>
              <w:textAlignment w:val="auto"/>
              <w:rPr>
                <w:rFonts w:cs="Arial"/>
                <w:b/>
                <w:bCs/>
                <w:sz w:val="18"/>
                <w:szCs w:val="18"/>
              </w:rPr>
            </w:pPr>
            <w:r w:rsidRPr="000A7FD1">
              <w:rPr>
                <w:rFonts w:cs="Arial"/>
                <w:b/>
                <w:bCs/>
                <w:sz w:val="18"/>
                <w:szCs w:val="18"/>
              </w:rPr>
              <w:t xml:space="preserve">Related </w:t>
            </w:r>
            <w:r w:rsidRPr="000A7FD1">
              <w:rPr>
                <w:rFonts w:cs="Arial"/>
                <w:b/>
                <w:bCs/>
                <w:sz w:val="18"/>
                <w:szCs w:val="18"/>
              </w:rPr>
              <w:br/>
              <w:t>Line Items, Assertions, and LIRA References</w:t>
            </w:r>
          </w:p>
        </w:tc>
        <w:tc>
          <w:tcPr>
            <w:tcW w:w="379" w:type="pct"/>
            <w:tcBorders>
              <w:top w:val="nil"/>
              <w:left w:val="single" w:sz="4" w:space="0" w:color="auto"/>
              <w:bottom w:val="double" w:sz="6" w:space="0" w:color="auto"/>
              <w:right w:val="single" w:sz="4" w:space="0" w:color="auto"/>
            </w:tcBorders>
            <w:shd w:val="clear" w:color="auto" w:fill="auto"/>
            <w:tcMar>
              <w:left w:w="0" w:type="dxa"/>
              <w:right w:w="0" w:type="dxa"/>
            </w:tcMar>
            <w:vAlign w:val="center"/>
            <w:hideMark/>
          </w:tcPr>
          <w:p w14:paraId="4D0F3E11" w14:textId="33A86873" w:rsidR="00AC4220" w:rsidRPr="000A7FD1" w:rsidRDefault="00AC4220" w:rsidP="00AC4220">
            <w:pPr>
              <w:widowControl/>
              <w:adjustRightInd/>
              <w:spacing w:before="0" w:after="0"/>
              <w:jc w:val="center"/>
              <w:textAlignment w:val="auto"/>
              <w:rPr>
                <w:rFonts w:cs="Arial"/>
                <w:b/>
                <w:bCs/>
                <w:color w:val="000000"/>
                <w:sz w:val="18"/>
                <w:szCs w:val="18"/>
              </w:rPr>
            </w:pPr>
            <w:r w:rsidRPr="000A7FD1">
              <w:rPr>
                <w:rFonts w:cs="Arial"/>
                <w:b/>
                <w:bCs/>
                <w:color w:val="000000"/>
                <w:sz w:val="18"/>
                <w:szCs w:val="18"/>
              </w:rPr>
              <w:t>Inherent Risk Assessment</w:t>
            </w:r>
            <w:r w:rsidR="00C35877" w:rsidRPr="000A7FD1">
              <w:rPr>
                <w:rStyle w:val="FootnoteReference"/>
                <w:rFonts w:cs="Arial"/>
                <w:b/>
                <w:bCs/>
                <w:color w:val="000000"/>
                <w:sz w:val="18"/>
                <w:szCs w:val="18"/>
              </w:rPr>
              <w:footnoteReference w:id="23"/>
            </w:r>
            <w:r w:rsidRPr="000A7FD1">
              <w:rPr>
                <w:rFonts w:cs="Arial"/>
                <w:b/>
                <w:bCs/>
                <w:color w:val="000000"/>
                <w:sz w:val="18"/>
                <w:szCs w:val="18"/>
              </w:rPr>
              <w:br/>
            </w:r>
            <w:r w:rsidRPr="000A7FD1">
              <w:rPr>
                <w:rFonts w:cs="Arial"/>
                <w:color w:val="000000"/>
                <w:sz w:val="18"/>
                <w:szCs w:val="18"/>
              </w:rPr>
              <w:t>(remote, low, moderate, high)</w:t>
            </w:r>
          </w:p>
        </w:tc>
        <w:tc>
          <w:tcPr>
            <w:tcW w:w="291" w:type="pct"/>
            <w:gridSpan w:val="3"/>
            <w:tcBorders>
              <w:top w:val="nil"/>
              <w:left w:val="nil"/>
              <w:bottom w:val="double" w:sz="6" w:space="0" w:color="auto"/>
              <w:right w:val="single" w:sz="8" w:space="0" w:color="auto"/>
            </w:tcBorders>
            <w:shd w:val="clear" w:color="auto" w:fill="auto"/>
            <w:tcMar>
              <w:left w:w="0" w:type="dxa"/>
              <w:right w:w="0" w:type="dxa"/>
            </w:tcMar>
            <w:vAlign w:val="center"/>
            <w:hideMark/>
          </w:tcPr>
          <w:p w14:paraId="5CCCE160" w14:textId="77777777" w:rsidR="00AC4220" w:rsidRPr="000A7FD1" w:rsidRDefault="00AC4220" w:rsidP="00AC4220">
            <w:pPr>
              <w:widowControl/>
              <w:adjustRightInd/>
              <w:spacing w:before="0" w:after="0"/>
              <w:jc w:val="center"/>
              <w:textAlignment w:val="auto"/>
              <w:rPr>
                <w:rFonts w:cs="Arial"/>
                <w:b/>
                <w:bCs/>
                <w:color w:val="000000"/>
                <w:sz w:val="18"/>
                <w:szCs w:val="18"/>
              </w:rPr>
            </w:pPr>
            <w:r w:rsidRPr="000A7FD1">
              <w:rPr>
                <w:rFonts w:cs="Arial"/>
                <w:b/>
                <w:bCs/>
                <w:color w:val="000000"/>
                <w:sz w:val="18"/>
                <w:szCs w:val="18"/>
              </w:rPr>
              <w:t>Significant Risk?</w:t>
            </w:r>
            <w:r w:rsidRPr="000A7FD1">
              <w:rPr>
                <w:rFonts w:cs="Arial"/>
                <w:b/>
                <w:bCs/>
                <w:color w:val="000000"/>
                <w:sz w:val="18"/>
                <w:szCs w:val="18"/>
              </w:rPr>
              <w:br/>
            </w:r>
            <w:r w:rsidRPr="000A7FD1">
              <w:rPr>
                <w:rFonts w:cs="Arial"/>
                <w:color w:val="000000"/>
                <w:sz w:val="18"/>
                <w:szCs w:val="18"/>
              </w:rPr>
              <w:t>(yes, no, N/A)</w:t>
            </w:r>
          </w:p>
        </w:tc>
        <w:tc>
          <w:tcPr>
            <w:tcW w:w="72" w:type="pct"/>
            <w:tcBorders>
              <w:top w:val="nil"/>
              <w:left w:val="nil"/>
              <w:bottom w:val="double" w:sz="6" w:space="0" w:color="auto"/>
              <w:right w:val="nil"/>
            </w:tcBorders>
            <w:shd w:val="clear" w:color="000000" w:fill="000000"/>
            <w:tcMar>
              <w:left w:w="0" w:type="dxa"/>
              <w:right w:w="0" w:type="dxa"/>
            </w:tcMar>
            <w:vAlign w:val="center"/>
            <w:hideMark/>
          </w:tcPr>
          <w:p w14:paraId="3AEEF97D" w14:textId="77777777" w:rsidR="00AC4220" w:rsidRPr="000A7FD1" w:rsidRDefault="00AC4220" w:rsidP="00AC4220">
            <w:pPr>
              <w:widowControl/>
              <w:adjustRightInd/>
              <w:spacing w:before="0" w:after="0"/>
              <w:jc w:val="center"/>
              <w:textAlignment w:val="auto"/>
              <w:rPr>
                <w:rFonts w:cs="Arial"/>
                <w:b/>
                <w:bCs/>
                <w:color w:val="000000"/>
                <w:sz w:val="18"/>
                <w:szCs w:val="18"/>
              </w:rPr>
            </w:pPr>
            <w:r w:rsidRPr="000A7FD1">
              <w:rPr>
                <w:rFonts w:cs="Arial"/>
                <w:b/>
                <w:bCs/>
                <w:color w:val="000000"/>
                <w:sz w:val="18"/>
                <w:szCs w:val="18"/>
              </w:rPr>
              <w:t> </w:t>
            </w:r>
          </w:p>
        </w:tc>
        <w:tc>
          <w:tcPr>
            <w:tcW w:w="726" w:type="pct"/>
            <w:gridSpan w:val="4"/>
            <w:tcBorders>
              <w:top w:val="nil"/>
              <w:left w:val="single" w:sz="8" w:space="0" w:color="auto"/>
              <w:bottom w:val="double" w:sz="6" w:space="0" w:color="auto"/>
              <w:right w:val="single" w:sz="4" w:space="0" w:color="auto"/>
            </w:tcBorders>
            <w:shd w:val="clear" w:color="auto" w:fill="auto"/>
            <w:tcMar>
              <w:left w:w="0" w:type="dxa"/>
              <w:right w:w="0" w:type="dxa"/>
            </w:tcMar>
            <w:vAlign w:val="center"/>
            <w:hideMark/>
          </w:tcPr>
          <w:p w14:paraId="1FD29E88" w14:textId="77777777" w:rsidR="009A7730" w:rsidRPr="000A7FD1" w:rsidRDefault="00AC4220" w:rsidP="00AC4220">
            <w:pPr>
              <w:widowControl/>
              <w:adjustRightInd/>
              <w:spacing w:before="0" w:after="0"/>
              <w:jc w:val="center"/>
              <w:textAlignment w:val="auto"/>
              <w:rPr>
                <w:rFonts w:cs="Arial"/>
                <w:b/>
                <w:bCs/>
                <w:color w:val="000000"/>
                <w:sz w:val="18"/>
                <w:szCs w:val="18"/>
              </w:rPr>
            </w:pPr>
            <w:r w:rsidRPr="000A7FD1">
              <w:rPr>
                <w:rFonts w:cs="Arial"/>
                <w:b/>
                <w:bCs/>
                <w:color w:val="000000"/>
                <w:sz w:val="18"/>
                <w:szCs w:val="18"/>
              </w:rPr>
              <w:t>Internal Control Objectives (ICO)</w:t>
            </w:r>
            <w:r w:rsidR="00482E26" w:rsidRPr="000A7FD1">
              <w:rPr>
                <w:rFonts w:cs="Arial"/>
                <w:b/>
                <w:bCs/>
                <w:color w:val="000000"/>
                <w:sz w:val="18"/>
                <w:szCs w:val="18"/>
              </w:rPr>
              <w:t xml:space="preserve"> </w:t>
            </w:r>
          </w:p>
          <w:p w14:paraId="2E4C16AF" w14:textId="77777777" w:rsidR="009B4322" w:rsidRPr="000A7FD1" w:rsidRDefault="00482E26" w:rsidP="009B4322">
            <w:pPr>
              <w:widowControl/>
              <w:adjustRightInd/>
              <w:spacing w:before="0" w:after="0"/>
              <w:jc w:val="center"/>
              <w:textAlignment w:val="auto"/>
              <w:rPr>
                <w:rFonts w:cs="Arial"/>
                <w:sz w:val="18"/>
                <w:szCs w:val="18"/>
              </w:rPr>
            </w:pPr>
            <w:r w:rsidRPr="000A7FD1">
              <w:rPr>
                <w:rFonts w:cs="Arial"/>
                <w:color w:val="000000"/>
                <w:sz w:val="18"/>
                <w:szCs w:val="18"/>
              </w:rPr>
              <w:t xml:space="preserve">(for each </w:t>
            </w:r>
            <w:r w:rsidR="009B4322" w:rsidRPr="000A7FD1">
              <w:rPr>
                <w:rFonts w:cs="Arial"/>
                <w:color w:val="000000"/>
                <w:sz w:val="18"/>
                <w:szCs w:val="18"/>
              </w:rPr>
              <w:t>i</w:t>
            </w:r>
            <w:r w:rsidRPr="000A7FD1">
              <w:rPr>
                <w:rFonts w:cs="Arial"/>
                <w:sz w:val="18"/>
                <w:szCs w:val="18"/>
              </w:rPr>
              <w:t xml:space="preserve">dentified </w:t>
            </w:r>
            <w:r w:rsidR="009B4322" w:rsidRPr="000A7FD1">
              <w:rPr>
                <w:rFonts w:cs="Arial"/>
                <w:sz w:val="18"/>
                <w:szCs w:val="18"/>
              </w:rPr>
              <w:t>r</w:t>
            </w:r>
            <w:r w:rsidRPr="000A7FD1">
              <w:rPr>
                <w:rFonts w:cs="Arial"/>
                <w:sz w:val="18"/>
                <w:szCs w:val="18"/>
              </w:rPr>
              <w:t xml:space="preserve">isk of </w:t>
            </w:r>
            <w:r w:rsidR="009B4322" w:rsidRPr="000A7FD1">
              <w:rPr>
                <w:rFonts w:cs="Arial"/>
                <w:sz w:val="18"/>
                <w:szCs w:val="18"/>
              </w:rPr>
              <w:t>m</w:t>
            </w:r>
            <w:r w:rsidRPr="000A7FD1">
              <w:rPr>
                <w:rFonts w:cs="Arial"/>
                <w:sz w:val="18"/>
                <w:szCs w:val="18"/>
              </w:rPr>
              <w:t xml:space="preserve">aterial </w:t>
            </w:r>
            <w:r w:rsidR="009B4322" w:rsidRPr="000A7FD1">
              <w:rPr>
                <w:rFonts w:cs="Arial"/>
                <w:sz w:val="18"/>
                <w:szCs w:val="18"/>
              </w:rPr>
              <w:t>m</w:t>
            </w:r>
            <w:r w:rsidRPr="000A7FD1">
              <w:rPr>
                <w:rFonts w:cs="Arial"/>
                <w:sz w:val="18"/>
                <w:szCs w:val="18"/>
              </w:rPr>
              <w:t>isstatement</w:t>
            </w:r>
            <w:r w:rsidR="009B4322" w:rsidRPr="000A7FD1">
              <w:rPr>
                <w:rFonts w:cs="Arial"/>
                <w:sz w:val="18"/>
                <w:szCs w:val="18"/>
              </w:rPr>
              <w:t xml:space="preserve"> </w:t>
            </w:r>
            <w:r w:rsidR="009A7730" w:rsidRPr="000A7FD1">
              <w:rPr>
                <w:rFonts w:cs="Arial"/>
                <w:sz w:val="18"/>
                <w:szCs w:val="18"/>
              </w:rPr>
              <w:t xml:space="preserve">for </w:t>
            </w:r>
          </w:p>
          <w:p w14:paraId="47362AE6" w14:textId="4E1C49E8" w:rsidR="009B4322" w:rsidRPr="000A7FD1" w:rsidRDefault="009A7730" w:rsidP="009B4322">
            <w:pPr>
              <w:widowControl/>
              <w:adjustRightInd/>
              <w:spacing w:before="0" w:after="0"/>
              <w:jc w:val="center"/>
              <w:textAlignment w:val="auto"/>
              <w:rPr>
                <w:rFonts w:cs="Arial"/>
                <w:sz w:val="18"/>
                <w:szCs w:val="18"/>
              </w:rPr>
            </w:pPr>
            <w:r w:rsidRPr="000A7FD1">
              <w:rPr>
                <w:rFonts w:cs="Arial"/>
                <w:sz w:val="18"/>
                <w:szCs w:val="18"/>
              </w:rPr>
              <w:t xml:space="preserve">which inherent risk is </w:t>
            </w:r>
          </w:p>
          <w:p w14:paraId="7CE61389" w14:textId="50076839" w:rsidR="00AC4220" w:rsidRPr="000A7FD1" w:rsidRDefault="009A7730" w:rsidP="009B4322">
            <w:pPr>
              <w:widowControl/>
              <w:adjustRightInd/>
              <w:spacing w:before="0" w:after="0"/>
              <w:jc w:val="center"/>
              <w:textAlignment w:val="auto"/>
              <w:rPr>
                <w:rFonts w:cs="Arial"/>
                <w:sz w:val="18"/>
                <w:szCs w:val="18"/>
              </w:rPr>
            </w:pPr>
            <w:r w:rsidRPr="000A7FD1">
              <w:rPr>
                <w:rFonts w:cs="Arial"/>
                <w:sz w:val="18"/>
                <w:szCs w:val="18"/>
              </w:rPr>
              <w:t>more than remote</w:t>
            </w:r>
            <w:r w:rsidR="009B4322" w:rsidRPr="000A7FD1">
              <w:rPr>
                <w:rFonts w:cs="Arial"/>
                <w:sz w:val="18"/>
                <w:szCs w:val="18"/>
              </w:rPr>
              <w:t>)</w:t>
            </w:r>
          </w:p>
        </w:tc>
        <w:tc>
          <w:tcPr>
            <w:tcW w:w="243" w:type="pct"/>
            <w:tcBorders>
              <w:top w:val="nil"/>
              <w:left w:val="nil"/>
              <w:bottom w:val="double" w:sz="6" w:space="0" w:color="auto"/>
              <w:right w:val="single" w:sz="4" w:space="0" w:color="auto"/>
            </w:tcBorders>
            <w:shd w:val="clear" w:color="auto" w:fill="auto"/>
            <w:tcMar>
              <w:left w:w="0" w:type="dxa"/>
              <w:right w:w="0" w:type="dxa"/>
            </w:tcMar>
            <w:vAlign w:val="center"/>
            <w:hideMark/>
          </w:tcPr>
          <w:p w14:paraId="21887AE3" w14:textId="77777777" w:rsidR="00AC4220" w:rsidRPr="000A7FD1" w:rsidRDefault="00AC4220" w:rsidP="00AC4220">
            <w:pPr>
              <w:widowControl/>
              <w:adjustRightInd/>
              <w:spacing w:before="0" w:after="0"/>
              <w:jc w:val="center"/>
              <w:textAlignment w:val="auto"/>
              <w:rPr>
                <w:rFonts w:cs="Arial"/>
                <w:b/>
                <w:bCs/>
                <w:color w:val="000000"/>
                <w:sz w:val="18"/>
                <w:szCs w:val="18"/>
              </w:rPr>
            </w:pPr>
            <w:r w:rsidRPr="000A7FD1">
              <w:rPr>
                <w:rFonts w:cs="Arial"/>
                <w:b/>
                <w:bCs/>
                <w:color w:val="000000"/>
                <w:sz w:val="18"/>
                <w:szCs w:val="18"/>
              </w:rPr>
              <w:t>Internal Control Activities (ICA)</w:t>
            </w:r>
          </w:p>
        </w:tc>
        <w:tc>
          <w:tcPr>
            <w:tcW w:w="293" w:type="pct"/>
            <w:gridSpan w:val="2"/>
            <w:tcBorders>
              <w:top w:val="nil"/>
              <w:left w:val="nil"/>
              <w:bottom w:val="double" w:sz="6" w:space="0" w:color="auto"/>
              <w:right w:val="single" w:sz="8" w:space="0" w:color="auto"/>
            </w:tcBorders>
            <w:shd w:val="clear" w:color="auto" w:fill="auto"/>
            <w:tcMar>
              <w:left w:w="0" w:type="dxa"/>
              <w:right w:w="0" w:type="dxa"/>
            </w:tcMar>
            <w:vAlign w:val="center"/>
            <w:hideMark/>
          </w:tcPr>
          <w:p w14:paraId="0BDF23B8" w14:textId="77777777" w:rsidR="00AC4220" w:rsidRPr="000A7FD1" w:rsidRDefault="00AC4220" w:rsidP="00AC4220">
            <w:pPr>
              <w:widowControl/>
              <w:adjustRightInd/>
              <w:spacing w:before="0" w:after="0"/>
              <w:jc w:val="center"/>
              <w:textAlignment w:val="auto"/>
              <w:rPr>
                <w:rFonts w:cs="Arial"/>
                <w:b/>
                <w:bCs/>
                <w:color w:val="000000"/>
                <w:sz w:val="18"/>
                <w:szCs w:val="18"/>
              </w:rPr>
            </w:pPr>
            <w:r w:rsidRPr="000A7FD1">
              <w:rPr>
                <w:rFonts w:cs="Arial"/>
                <w:b/>
                <w:bCs/>
                <w:color w:val="000000"/>
                <w:sz w:val="18"/>
                <w:szCs w:val="18"/>
              </w:rPr>
              <w:t xml:space="preserve">Type of ICA: </w:t>
            </w:r>
            <w:r w:rsidRPr="000A7FD1">
              <w:rPr>
                <w:rFonts w:cs="Arial"/>
                <w:b/>
                <w:bCs/>
                <w:color w:val="000000"/>
                <w:sz w:val="18"/>
                <w:szCs w:val="18"/>
              </w:rPr>
              <w:br/>
              <w:t xml:space="preserve">IS, </w:t>
            </w:r>
            <w:r w:rsidRPr="000A7FD1">
              <w:rPr>
                <w:rFonts w:cs="Arial"/>
                <w:b/>
                <w:bCs/>
                <w:color w:val="000000"/>
                <w:sz w:val="18"/>
                <w:szCs w:val="18"/>
              </w:rPr>
              <w:br/>
              <w:t>Manual (M), or Both IS and Manual (B)</w:t>
            </w:r>
          </w:p>
        </w:tc>
        <w:tc>
          <w:tcPr>
            <w:tcW w:w="340" w:type="pct"/>
            <w:tcBorders>
              <w:top w:val="nil"/>
              <w:left w:val="nil"/>
              <w:bottom w:val="double" w:sz="6" w:space="0" w:color="auto"/>
              <w:right w:val="single" w:sz="4" w:space="0" w:color="auto"/>
            </w:tcBorders>
            <w:shd w:val="clear" w:color="auto" w:fill="auto"/>
            <w:tcMar>
              <w:left w:w="0" w:type="dxa"/>
              <w:right w:w="0" w:type="dxa"/>
            </w:tcMar>
            <w:vAlign w:val="center"/>
            <w:hideMark/>
          </w:tcPr>
          <w:p w14:paraId="0A6A07BD" w14:textId="4C5B455F" w:rsidR="00AC4220" w:rsidRPr="000A7FD1" w:rsidRDefault="00AC4220" w:rsidP="00AC4220">
            <w:pPr>
              <w:widowControl/>
              <w:adjustRightInd/>
              <w:spacing w:before="0" w:after="0"/>
              <w:jc w:val="center"/>
              <w:textAlignment w:val="auto"/>
              <w:rPr>
                <w:rFonts w:cs="Arial"/>
                <w:b/>
                <w:bCs/>
                <w:color w:val="000000"/>
                <w:sz w:val="18"/>
                <w:szCs w:val="18"/>
              </w:rPr>
            </w:pPr>
            <w:r w:rsidRPr="000A7FD1">
              <w:rPr>
                <w:rFonts w:cs="Arial"/>
                <w:b/>
                <w:bCs/>
                <w:color w:val="000000"/>
                <w:sz w:val="18"/>
                <w:szCs w:val="18"/>
              </w:rPr>
              <w:t xml:space="preserve">Is the ICA </w:t>
            </w:r>
            <w:r w:rsidR="00F85B0C" w:rsidRPr="000A7FD1">
              <w:rPr>
                <w:rFonts w:cs="Arial"/>
                <w:b/>
                <w:bCs/>
                <w:color w:val="000000"/>
                <w:sz w:val="18"/>
                <w:szCs w:val="18"/>
              </w:rPr>
              <w:t xml:space="preserve">Effectively </w:t>
            </w:r>
            <w:r w:rsidRPr="000A7FD1">
              <w:rPr>
                <w:rFonts w:cs="Arial"/>
                <w:b/>
                <w:bCs/>
                <w:color w:val="000000"/>
                <w:sz w:val="18"/>
                <w:szCs w:val="18"/>
              </w:rPr>
              <w:t>Designed and Implemented?</w:t>
            </w:r>
          </w:p>
        </w:tc>
        <w:tc>
          <w:tcPr>
            <w:tcW w:w="170" w:type="pct"/>
            <w:tcBorders>
              <w:top w:val="nil"/>
              <w:left w:val="nil"/>
              <w:bottom w:val="double" w:sz="6" w:space="0" w:color="auto"/>
              <w:right w:val="single" w:sz="8" w:space="0" w:color="auto"/>
            </w:tcBorders>
            <w:shd w:val="clear" w:color="auto" w:fill="auto"/>
            <w:tcMar>
              <w:left w:w="0" w:type="dxa"/>
              <w:right w:w="0" w:type="dxa"/>
            </w:tcMar>
            <w:vAlign w:val="center"/>
            <w:hideMark/>
          </w:tcPr>
          <w:p w14:paraId="20B7927D" w14:textId="77777777" w:rsidR="00AC4220" w:rsidRPr="000A7FD1" w:rsidRDefault="00AC4220" w:rsidP="00AC4220">
            <w:pPr>
              <w:widowControl/>
              <w:adjustRightInd/>
              <w:spacing w:before="0" w:after="0"/>
              <w:jc w:val="center"/>
              <w:textAlignment w:val="auto"/>
              <w:rPr>
                <w:rFonts w:cs="Arial"/>
                <w:b/>
                <w:bCs/>
                <w:color w:val="000000"/>
                <w:sz w:val="18"/>
                <w:szCs w:val="18"/>
              </w:rPr>
            </w:pPr>
            <w:r w:rsidRPr="000A7FD1">
              <w:rPr>
                <w:rFonts w:cs="Arial"/>
                <w:b/>
                <w:bCs/>
                <w:color w:val="000000"/>
                <w:sz w:val="18"/>
                <w:szCs w:val="18"/>
              </w:rPr>
              <w:t>Audit Doc. Ref.</w:t>
            </w:r>
          </w:p>
        </w:tc>
        <w:tc>
          <w:tcPr>
            <w:tcW w:w="315" w:type="pct"/>
            <w:gridSpan w:val="3"/>
            <w:tcBorders>
              <w:top w:val="nil"/>
              <w:left w:val="nil"/>
              <w:bottom w:val="double" w:sz="6" w:space="0" w:color="auto"/>
              <w:right w:val="nil"/>
            </w:tcBorders>
            <w:shd w:val="clear" w:color="auto" w:fill="auto"/>
            <w:tcMar>
              <w:left w:w="0" w:type="dxa"/>
              <w:right w:w="0" w:type="dxa"/>
            </w:tcMar>
            <w:vAlign w:val="center"/>
            <w:hideMark/>
          </w:tcPr>
          <w:p w14:paraId="3D7B7B0F" w14:textId="77777777" w:rsidR="00AC4220" w:rsidRPr="000A7FD1" w:rsidRDefault="00AC4220" w:rsidP="00AC4220">
            <w:pPr>
              <w:widowControl/>
              <w:adjustRightInd/>
              <w:spacing w:before="0" w:after="0"/>
              <w:jc w:val="center"/>
              <w:textAlignment w:val="auto"/>
              <w:rPr>
                <w:rFonts w:cs="Arial"/>
                <w:b/>
                <w:bCs/>
                <w:color w:val="000000"/>
                <w:sz w:val="18"/>
                <w:szCs w:val="18"/>
              </w:rPr>
            </w:pPr>
            <w:r w:rsidRPr="000A7FD1">
              <w:rPr>
                <w:rFonts w:cs="Arial"/>
                <w:b/>
                <w:bCs/>
                <w:color w:val="000000"/>
                <w:sz w:val="18"/>
                <w:szCs w:val="18"/>
              </w:rPr>
              <w:t>Is the ICA Operating Effectively?</w:t>
            </w:r>
          </w:p>
        </w:tc>
        <w:tc>
          <w:tcPr>
            <w:tcW w:w="267" w:type="pct"/>
            <w:tcBorders>
              <w:top w:val="nil"/>
              <w:left w:val="single" w:sz="4" w:space="0" w:color="auto"/>
              <w:bottom w:val="double" w:sz="6" w:space="0" w:color="auto"/>
              <w:right w:val="nil"/>
            </w:tcBorders>
            <w:shd w:val="clear" w:color="auto" w:fill="auto"/>
            <w:tcMar>
              <w:left w:w="0" w:type="dxa"/>
              <w:right w:w="0" w:type="dxa"/>
            </w:tcMar>
            <w:vAlign w:val="center"/>
            <w:hideMark/>
          </w:tcPr>
          <w:p w14:paraId="452CCA63" w14:textId="77777777" w:rsidR="00AC4220" w:rsidRPr="000A7FD1" w:rsidRDefault="00AC4220" w:rsidP="00AC4220">
            <w:pPr>
              <w:widowControl/>
              <w:adjustRightInd/>
              <w:spacing w:before="0" w:after="0"/>
              <w:jc w:val="center"/>
              <w:textAlignment w:val="auto"/>
              <w:rPr>
                <w:rFonts w:cs="Arial"/>
                <w:b/>
                <w:bCs/>
                <w:color w:val="000000"/>
                <w:sz w:val="18"/>
                <w:szCs w:val="18"/>
              </w:rPr>
            </w:pPr>
            <w:r w:rsidRPr="000A7FD1">
              <w:rPr>
                <w:rFonts w:cs="Arial"/>
                <w:b/>
                <w:bCs/>
                <w:color w:val="000000"/>
                <w:sz w:val="18"/>
                <w:szCs w:val="18"/>
              </w:rPr>
              <w:t>Audit Plan Testing</w:t>
            </w:r>
            <w:r w:rsidRPr="000A7FD1">
              <w:rPr>
                <w:rFonts w:cs="Arial"/>
                <w:b/>
                <w:bCs/>
                <w:color w:val="000000"/>
                <w:sz w:val="18"/>
                <w:szCs w:val="18"/>
              </w:rPr>
              <w:br/>
              <w:t xml:space="preserve"> Step </w:t>
            </w:r>
          </w:p>
        </w:tc>
        <w:tc>
          <w:tcPr>
            <w:tcW w:w="266" w:type="pct"/>
            <w:tcBorders>
              <w:top w:val="nil"/>
              <w:left w:val="single" w:sz="4" w:space="0" w:color="auto"/>
              <w:bottom w:val="double" w:sz="6" w:space="0" w:color="auto"/>
              <w:right w:val="single" w:sz="4" w:space="0" w:color="auto"/>
            </w:tcBorders>
            <w:shd w:val="clear" w:color="auto" w:fill="auto"/>
            <w:tcMar>
              <w:left w:w="0" w:type="dxa"/>
              <w:right w:w="0" w:type="dxa"/>
            </w:tcMar>
            <w:vAlign w:val="center"/>
            <w:hideMark/>
          </w:tcPr>
          <w:p w14:paraId="625D0CEF" w14:textId="77777777" w:rsidR="00AC4220" w:rsidRPr="000A7FD1" w:rsidRDefault="00AC4220" w:rsidP="00AC4220">
            <w:pPr>
              <w:widowControl/>
              <w:adjustRightInd/>
              <w:spacing w:before="0" w:after="0"/>
              <w:jc w:val="center"/>
              <w:textAlignment w:val="auto"/>
              <w:rPr>
                <w:rFonts w:cs="Arial"/>
                <w:b/>
                <w:bCs/>
                <w:color w:val="000000"/>
                <w:sz w:val="18"/>
                <w:szCs w:val="18"/>
              </w:rPr>
            </w:pPr>
            <w:r w:rsidRPr="000A7FD1">
              <w:rPr>
                <w:rFonts w:cs="Arial"/>
                <w:b/>
                <w:bCs/>
                <w:color w:val="000000"/>
                <w:sz w:val="18"/>
                <w:szCs w:val="18"/>
              </w:rPr>
              <w:t>Is the ICO Achieved?</w:t>
            </w:r>
          </w:p>
        </w:tc>
        <w:tc>
          <w:tcPr>
            <w:tcW w:w="344" w:type="pct"/>
            <w:gridSpan w:val="3"/>
            <w:tcBorders>
              <w:top w:val="nil"/>
              <w:left w:val="nil"/>
              <w:bottom w:val="double" w:sz="6" w:space="0" w:color="auto"/>
              <w:right w:val="single" w:sz="12" w:space="0" w:color="auto"/>
            </w:tcBorders>
            <w:shd w:val="clear" w:color="auto" w:fill="auto"/>
            <w:tcMar>
              <w:left w:w="0" w:type="dxa"/>
              <w:right w:w="0" w:type="dxa"/>
            </w:tcMar>
            <w:vAlign w:val="center"/>
            <w:hideMark/>
          </w:tcPr>
          <w:p w14:paraId="26C605EA" w14:textId="77777777" w:rsidR="00AC4220" w:rsidRPr="000A7FD1" w:rsidRDefault="00AC4220" w:rsidP="00AC4220">
            <w:pPr>
              <w:widowControl/>
              <w:adjustRightInd/>
              <w:spacing w:before="0" w:after="0"/>
              <w:jc w:val="center"/>
              <w:textAlignment w:val="auto"/>
              <w:rPr>
                <w:rFonts w:cs="Arial"/>
                <w:b/>
                <w:bCs/>
                <w:sz w:val="18"/>
                <w:szCs w:val="18"/>
              </w:rPr>
            </w:pPr>
            <w:r w:rsidRPr="000A7FD1">
              <w:rPr>
                <w:rFonts w:cs="Arial"/>
                <w:b/>
                <w:bCs/>
                <w:sz w:val="18"/>
                <w:szCs w:val="18"/>
              </w:rPr>
              <w:t>Control Risk Assessment</w:t>
            </w:r>
            <w:r w:rsidRPr="000A7FD1">
              <w:rPr>
                <w:rFonts w:cs="Arial"/>
                <w:b/>
                <w:bCs/>
                <w:sz w:val="18"/>
                <w:szCs w:val="18"/>
              </w:rPr>
              <w:br/>
            </w:r>
            <w:r w:rsidRPr="000A7FD1">
              <w:rPr>
                <w:rFonts w:cs="Arial"/>
                <w:sz w:val="18"/>
                <w:szCs w:val="18"/>
              </w:rPr>
              <w:t>(low, moderate, high, N/A)</w:t>
            </w:r>
          </w:p>
        </w:tc>
      </w:tr>
      <w:tr w:rsidR="00AC010F" w:rsidRPr="000A7FD1" w14:paraId="60544AB0" w14:textId="77777777" w:rsidTr="009B4322">
        <w:tblPrEx>
          <w:tblBorders>
            <w:top w:val="none" w:sz="0" w:space="0" w:color="auto"/>
            <w:left w:val="none" w:sz="0" w:space="0" w:color="auto"/>
            <w:bottom w:val="none" w:sz="0" w:space="0" w:color="auto"/>
            <w:right w:val="none" w:sz="0" w:space="0" w:color="auto"/>
          </w:tblBorders>
        </w:tblPrEx>
        <w:trPr>
          <w:trHeight w:val="285"/>
        </w:trPr>
        <w:tc>
          <w:tcPr>
            <w:tcW w:w="410" w:type="pct"/>
            <w:tcBorders>
              <w:top w:val="nil"/>
              <w:left w:val="single" w:sz="12" w:space="0" w:color="auto"/>
              <w:bottom w:val="double" w:sz="6" w:space="0" w:color="auto"/>
              <w:right w:val="single" w:sz="4" w:space="0" w:color="auto"/>
            </w:tcBorders>
            <w:shd w:val="clear" w:color="000000" w:fill="BFBFBF"/>
            <w:noWrap/>
            <w:vAlign w:val="center"/>
            <w:hideMark/>
          </w:tcPr>
          <w:p w14:paraId="76512771"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1</w:t>
            </w:r>
          </w:p>
        </w:tc>
        <w:tc>
          <w:tcPr>
            <w:tcW w:w="535" w:type="pct"/>
            <w:gridSpan w:val="2"/>
            <w:tcBorders>
              <w:top w:val="nil"/>
              <w:left w:val="nil"/>
              <w:bottom w:val="double" w:sz="6" w:space="0" w:color="auto"/>
              <w:right w:val="nil"/>
            </w:tcBorders>
            <w:shd w:val="clear" w:color="000000" w:fill="BFBFBF"/>
            <w:noWrap/>
            <w:vAlign w:val="center"/>
            <w:hideMark/>
          </w:tcPr>
          <w:p w14:paraId="22630AE5"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2</w:t>
            </w:r>
          </w:p>
        </w:tc>
        <w:tc>
          <w:tcPr>
            <w:tcW w:w="349" w:type="pct"/>
            <w:gridSpan w:val="2"/>
            <w:tcBorders>
              <w:top w:val="nil"/>
              <w:left w:val="single" w:sz="8" w:space="0" w:color="auto"/>
              <w:bottom w:val="double" w:sz="6" w:space="0" w:color="auto"/>
              <w:right w:val="single" w:sz="4" w:space="0" w:color="auto"/>
            </w:tcBorders>
            <w:shd w:val="clear" w:color="000000" w:fill="BFBFBF"/>
            <w:noWrap/>
            <w:vAlign w:val="center"/>
            <w:hideMark/>
          </w:tcPr>
          <w:p w14:paraId="4CA5BBF2"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3</w:t>
            </w:r>
          </w:p>
        </w:tc>
        <w:tc>
          <w:tcPr>
            <w:tcW w:w="379" w:type="pct"/>
            <w:tcBorders>
              <w:top w:val="nil"/>
              <w:left w:val="nil"/>
              <w:bottom w:val="double" w:sz="6" w:space="0" w:color="auto"/>
              <w:right w:val="single" w:sz="4" w:space="0" w:color="auto"/>
            </w:tcBorders>
            <w:shd w:val="clear" w:color="000000" w:fill="BFBFBF"/>
            <w:noWrap/>
            <w:vAlign w:val="center"/>
            <w:hideMark/>
          </w:tcPr>
          <w:p w14:paraId="0D281B11"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4</w:t>
            </w:r>
          </w:p>
        </w:tc>
        <w:tc>
          <w:tcPr>
            <w:tcW w:w="291" w:type="pct"/>
            <w:gridSpan w:val="3"/>
            <w:tcBorders>
              <w:top w:val="nil"/>
              <w:left w:val="nil"/>
              <w:bottom w:val="double" w:sz="6" w:space="0" w:color="auto"/>
              <w:right w:val="single" w:sz="8" w:space="0" w:color="auto"/>
            </w:tcBorders>
            <w:shd w:val="clear" w:color="000000" w:fill="BFBFBF"/>
            <w:noWrap/>
            <w:vAlign w:val="center"/>
            <w:hideMark/>
          </w:tcPr>
          <w:p w14:paraId="56A32115"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5</w:t>
            </w:r>
          </w:p>
        </w:tc>
        <w:tc>
          <w:tcPr>
            <w:tcW w:w="72" w:type="pct"/>
            <w:tcBorders>
              <w:top w:val="nil"/>
              <w:left w:val="nil"/>
              <w:bottom w:val="double" w:sz="6" w:space="0" w:color="auto"/>
              <w:right w:val="nil"/>
            </w:tcBorders>
            <w:shd w:val="clear" w:color="000000" w:fill="000000"/>
            <w:noWrap/>
            <w:vAlign w:val="center"/>
            <w:hideMark/>
          </w:tcPr>
          <w:p w14:paraId="4B390E86"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6</w:t>
            </w:r>
          </w:p>
        </w:tc>
        <w:tc>
          <w:tcPr>
            <w:tcW w:w="726" w:type="pct"/>
            <w:gridSpan w:val="4"/>
            <w:tcBorders>
              <w:top w:val="nil"/>
              <w:left w:val="single" w:sz="8" w:space="0" w:color="auto"/>
              <w:bottom w:val="double" w:sz="6" w:space="0" w:color="auto"/>
              <w:right w:val="nil"/>
            </w:tcBorders>
            <w:shd w:val="clear" w:color="000000" w:fill="BFBFBF"/>
            <w:noWrap/>
            <w:vAlign w:val="center"/>
            <w:hideMark/>
          </w:tcPr>
          <w:p w14:paraId="66EF1A19"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6</w:t>
            </w:r>
          </w:p>
        </w:tc>
        <w:tc>
          <w:tcPr>
            <w:tcW w:w="243" w:type="pct"/>
            <w:tcBorders>
              <w:top w:val="nil"/>
              <w:left w:val="single" w:sz="4" w:space="0" w:color="auto"/>
              <w:bottom w:val="double" w:sz="6" w:space="0" w:color="auto"/>
              <w:right w:val="single" w:sz="4" w:space="0" w:color="auto"/>
            </w:tcBorders>
            <w:shd w:val="clear" w:color="000000" w:fill="BFBFBF"/>
            <w:noWrap/>
            <w:vAlign w:val="center"/>
            <w:hideMark/>
          </w:tcPr>
          <w:p w14:paraId="7DC90EBD"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7</w:t>
            </w:r>
          </w:p>
        </w:tc>
        <w:tc>
          <w:tcPr>
            <w:tcW w:w="293" w:type="pct"/>
            <w:gridSpan w:val="2"/>
            <w:tcBorders>
              <w:top w:val="nil"/>
              <w:left w:val="nil"/>
              <w:bottom w:val="double" w:sz="6" w:space="0" w:color="auto"/>
              <w:right w:val="single" w:sz="8" w:space="0" w:color="auto"/>
            </w:tcBorders>
            <w:shd w:val="clear" w:color="000000" w:fill="BFBFBF"/>
            <w:noWrap/>
            <w:vAlign w:val="center"/>
            <w:hideMark/>
          </w:tcPr>
          <w:p w14:paraId="25476AD0"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8</w:t>
            </w:r>
          </w:p>
        </w:tc>
        <w:tc>
          <w:tcPr>
            <w:tcW w:w="340" w:type="pct"/>
            <w:tcBorders>
              <w:top w:val="nil"/>
              <w:left w:val="nil"/>
              <w:bottom w:val="double" w:sz="6" w:space="0" w:color="auto"/>
              <w:right w:val="single" w:sz="4" w:space="0" w:color="auto"/>
            </w:tcBorders>
            <w:shd w:val="clear" w:color="000000" w:fill="BFBFBF"/>
            <w:noWrap/>
            <w:vAlign w:val="center"/>
            <w:hideMark/>
          </w:tcPr>
          <w:p w14:paraId="3FD974AB"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9</w:t>
            </w:r>
          </w:p>
        </w:tc>
        <w:tc>
          <w:tcPr>
            <w:tcW w:w="170" w:type="pct"/>
            <w:tcBorders>
              <w:top w:val="nil"/>
              <w:left w:val="nil"/>
              <w:bottom w:val="double" w:sz="6" w:space="0" w:color="auto"/>
              <w:right w:val="single" w:sz="8" w:space="0" w:color="auto"/>
            </w:tcBorders>
            <w:shd w:val="clear" w:color="000000" w:fill="BFBFBF"/>
            <w:noWrap/>
            <w:vAlign w:val="center"/>
            <w:hideMark/>
          </w:tcPr>
          <w:p w14:paraId="145DAC6D"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10</w:t>
            </w:r>
          </w:p>
        </w:tc>
        <w:tc>
          <w:tcPr>
            <w:tcW w:w="315" w:type="pct"/>
            <w:gridSpan w:val="3"/>
            <w:tcBorders>
              <w:top w:val="nil"/>
              <w:left w:val="nil"/>
              <w:bottom w:val="double" w:sz="6" w:space="0" w:color="auto"/>
              <w:right w:val="single" w:sz="4" w:space="0" w:color="auto"/>
            </w:tcBorders>
            <w:shd w:val="clear" w:color="000000" w:fill="BFBFBF"/>
            <w:vAlign w:val="center"/>
            <w:hideMark/>
          </w:tcPr>
          <w:p w14:paraId="68AC7F14"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11</w:t>
            </w:r>
          </w:p>
        </w:tc>
        <w:tc>
          <w:tcPr>
            <w:tcW w:w="267" w:type="pct"/>
            <w:tcBorders>
              <w:top w:val="nil"/>
              <w:left w:val="nil"/>
              <w:bottom w:val="double" w:sz="6" w:space="0" w:color="auto"/>
              <w:right w:val="single" w:sz="4" w:space="0" w:color="auto"/>
            </w:tcBorders>
            <w:shd w:val="clear" w:color="000000" w:fill="BFBFBF"/>
            <w:vAlign w:val="center"/>
            <w:hideMark/>
          </w:tcPr>
          <w:p w14:paraId="3C9405EC"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12</w:t>
            </w:r>
          </w:p>
        </w:tc>
        <w:tc>
          <w:tcPr>
            <w:tcW w:w="266" w:type="pct"/>
            <w:tcBorders>
              <w:top w:val="nil"/>
              <w:left w:val="nil"/>
              <w:bottom w:val="double" w:sz="6" w:space="0" w:color="auto"/>
              <w:right w:val="single" w:sz="4" w:space="0" w:color="auto"/>
            </w:tcBorders>
            <w:shd w:val="clear" w:color="000000" w:fill="BFBFBF"/>
            <w:noWrap/>
            <w:vAlign w:val="center"/>
            <w:hideMark/>
          </w:tcPr>
          <w:p w14:paraId="15B3F88B"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13</w:t>
            </w:r>
          </w:p>
        </w:tc>
        <w:tc>
          <w:tcPr>
            <w:tcW w:w="344" w:type="pct"/>
            <w:gridSpan w:val="3"/>
            <w:tcBorders>
              <w:top w:val="nil"/>
              <w:left w:val="nil"/>
              <w:bottom w:val="double" w:sz="6" w:space="0" w:color="auto"/>
              <w:right w:val="single" w:sz="12" w:space="0" w:color="auto"/>
            </w:tcBorders>
            <w:shd w:val="clear" w:color="000000" w:fill="BFBFBF"/>
            <w:noWrap/>
            <w:vAlign w:val="center"/>
            <w:hideMark/>
          </w:tcPr>
          <w:p w14:paraId="34529CC0"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14</w:t>
            </w:r>
          </w:p>
        </w:tc>
      </w:tr>
      <w:tr w:rsidR="00AC010F" w:rsidRPr="000A7FD1" w14:paraId="04E56FDE" w14:textId="77777777" w:rsidTr="0011164E">
        <w:tblPrEx>
          <w:tblBorders>
            <w:top w:val="none" w:sz="0" w:space="0" w:color="auto"/>
            <w:left w:val="none" w:sz="0" w:space="0" w:color="auto"/>
            <w:bottom w:val="none" w:sz="0" w:space="0" w:color="auto"/>
            <w:right w:val="none" w:sz="0" w:space="0" w:color="auto"/>
          </w:tblBorders>
        </w:tblPrEx>
        <w:tc>
          <w:tcPr>
            <w:tcW w:w="410" w:type="pct"/>
            <w:vMerge w:val="restart"/>
            <w:tcBorders>
              <w:top w:val="double" w:sz="6" w:space="0" w:color="auto"/>
              <w:left w:val="single" w:sz="12" w:space="0" w:color="auto"/>
              <w:bottom w:val="single" w:sz="8" w:space="0" w:color="auto"/>
              <w:right w:val="single" w:sz="4" w:space="0" w:color="auto"/>
            </w:tcBorders>
            <w:shd w:val="clear" w:color="000000" w:fill="FFFFFF"/>
            <w:hideMark/>
          </w:tcPr>
          <w:p w14:paraId="1CC23315" w14:textId="77777777" w:rsidR="00D254E3" w:rsidRPr="000A7FD1" w:rsidRDefault="00D254E3" w:rsidP="00AC4220">
            <w:pPr>
              <w:widowControl/>
              <w:adjustRightInd/>
              <w:spacing w:before="0" w:after="0"/>
              <w:textAlignment w:val="auto"/>
              <w:rPr>
                <w:rFonts w:cs="Arial"/>
                <w:color w:val="000000"/>
                <w:sz w:val="18"/>
                <w:szCs w:val="18"/>
              </w:rPr>
            </w:pPr>
            <w:r w:rsidRPr="000A7FD1">
              <w:rPr>
                <w:rFonts w:cs="Arial"/>
                <w:color w:val="000000"/>
                <w:sz w:val="18"/>
                <w:szCs w:val="18"/>
              </w:rPr>
              <w:t>Existence or Occurrence</w:t>
            </w:r>
          </w:p>
        </w:tc>
        <w:tc>
          <w:tcPr>
            <w:tcW w:w="1554" w:type="pct"/>
            <w:gridSpan w:val="8"/>
            <w:tcBorders>
              <w:top w:val="nil"/>
              <w:left w:val="nil"/>
              <w:bottom w:val="single" w:sz="4" w:space="0" w:color="auto"/>
              <w:right w:val="nil"/>
            </w:tcBorders>
            <w:shd w:val="clear" w:color="000000" w:fill="000000"/>
            <w:noWrap/>
            <w:hideMark/>
          </w:tcPr>
          <w:p w14:paraId="45BFB0EC" w14:textId="25394085" w:rsidR="00D254E3" w:rsidRPr="000A7FD1" w:rsidRDefault="00D254E3" w:rsidP="00AC4220">
            <w:pPr>
              <w:widowControl/>
              <w:adjustRightInd/>
              <w:spacing w:before="0" w:after="0"/>
              <w:textAlignment w:val="auto"/>
              <w:rPr>
                <w:rFonts w:cs="Arial"/>
                <w:b/>
                <w:bCs/>
                <w:color w:val="FFFFFF"/>
                <w:sz w:val="18"/>
                <w:szCs w:val="18"/>
              </w:rPr>
            </w:pPr>
            <w:r w:rsidRPr="000A7FD1">
              <w:rPr>
                <w:rFonts w:cs="Arial"/>
                <w:b/>
                <w:bCs/>
                <w:color w:val="FFFFFF"/>
                <w:sz w:val="18"/>
                <w:szCs w:val="18"/>
              </w:rPr>
              <w:t>Transaction related</w:t>
            </w:r>
          </w:p>
        </w:tc>
        <w:tc>
          <w:tcPr>
            <w:tcW w:w="72" w:type="pct"/>
            <w:tcBorders>
              <w:top w:val="nil"/>
              <w:left w:val="nil"/>
              <w:bottom w:val="single" w:sz="4" w:space="0" w:color="auto"/>
              <w:right w:val="single" w:sz="8" w:space="0" w:color="auto"/>
            </w:tcBorders>
            <w:shd w:val="clear" w:color="000000" w:fill="000000"/>
            <w:noWrap/>
            <w:hideMark/>
          </w:tcPr>
          <w:p w14:paraId="65F31823" w14:textId="77777777" w:rsidR="00D254E3" w:rsidRPr="000A7FD1" w:rsidRDefault="00D254E3" w:rsidP="00AC4220">
            <w:pPr>
              <w:widowControl/>
              <w:adjustRightInd/>
              <w:spacing w:before="0" w:after="0"/>
              <w:textAlignment w:val="auto"/>
              <w:rPr>
                <w:rFonts w:cs="Arial"/>
                <w:b/>
                <w:bCs/>
                <w:color w:val="FFFFFF"/>
                <w:sz w:val="18"/>
                <w:szCs w:val="18"/>
              </w:rPr>
            </w:pPr>
            <w:r w:rsidRPr="000A7FD1">
              <w:rPr>
                <w:rFonts w:cs="Arial"/>
                <w:b/>
                <w:bCs/>
                <w:color w:val="FFFFFF"/>
                <w:sz w:val="18"/>
                <w:szCs w:val="18"/>
              </w:rPr>
              <w:t> </w:t>
            </w:r>
          </w:p>
        </w:tc>
        <w:tc>
          <w:tcPr>
            <w:tcW w:w="726" w:type="pct"/>
            <w:gridSpan w:val="4"/>
            <w:tcBorders>
              <w:top w:val="nil"/>
              <w:left w:val="single" w:sz="8" w:space="0" w:color="auto"/>
              <w:bottom w:val="single" w:sz="8" w:space="0" w:color="auto"/>
              <w:right w:val="nil"/>
            </w:tcBorders>
            <w:shd w:val="clear" w:color="000000" w:fill="000000"/>
            <w:noWrap/>
            <w:hideMark/>
          </w:tcPr>
          <w:p w14:paraId="39F1DEB7" w14:textId="77777777" w:rsidR="00D254E3" w:rsidRPr="000A7FD1" w:rsidRDefault="00D254E3" w:rsidP="00AC4220">
            <w:pPr>
              <w:widowControl/>
              <w:adjustRightInd/>
              <w:spacing w:before="0" w:after="0"/>
              <w:textAlignment w:val="auto"/>
              <w:rPr>
                <w:rFonts w:cs="Arial"/>
                <w:b/>
                <w:bCs/>
                <w:color w:val="FFFFFF"/>
                <w:sz w:val="18"/>
                <w:szCs w:val="18"/>
              </w:rPr>
            </w:pPr>
            <w:r w:rsidRPr="000A7FD1">
              <w:rPr>
                <w:rFonts w:cs="Arial"/>
                <w:b/>
                <w:bCs/>
                <w:color w:val="FFFFFF"/>
                <w:sz w:val="18"/>
                <w:szCs w:val="18"/>
              </w:rPr>
              <w:t> </w:t>
            </w:r>
          </w:p>
        </w:tc>
        <w:tc>
          <w:tcPr>
            <w:tcW w:w="243" w:type="pct"/>
            <w:tcBorders>
              <w:top w:val="nil"/>
              <w:left w:val="nil"/>
              <w:bottom w:val="single" w:sz="8" w:space="0" w:color="auto"/>
              <w:right w:val="single" w:sz="12" w:space="0" w:color="auto"/>
            </w:tcBorders>
            <w:shd w:val="clear" w:color="000000" w:fill="000000"/>
            <w:noWrap/>
            <w:hideMark/>
          </w:tcPr>
          <w:p w14:paraId="0EF9F0D2" w14:textId="77777777" w:rsidR="00D254E3" w:rsidRPr="000A7FD1" w:rsidRDefault="00D254E3" w:rsidP="00AC4220">
            <w:pPr>
              <w:widowControl/>
              <w:adjustRightInd/>
              <w:spacing w:before="0" w:after="0"/>
              <w:textAlignment w:val="auto"/>
              <w:rPr>
                <w:rFonts w:cs="Arial"/>
                <w:b/>
                <w:bCs/>
                <w:color w:val="FFFFFF"/>
                <w:sz w:val="18"/>
                <w:szCs w:val="18"/>
              </w:rPr>
            </w:pPr>
            <w:r w:rsidRPr="000A7FD1">
              <w:rPr>
                <w:rFonts w:cs="Arial"/>
                <w:b/>
                <w:bCs/>
                <w:color w:val="FFFFFF"/>
                <w:sz w:val="18"/>
                <w:szCs w:val="18"/>
              </w:rPr>
              <w:t> </w:t>
            </w:r>
          </w:p>
        </w:tc>
        <w:tc>
          <w:tcPr>
            <w:tcW w:w="293" w:type="pct"/>
            <w:gridSpan w:val="2"/>
            <w:tcBorders>
              <w:top w:val="single" w:sz="4" w:space="0" w:color="auto"/>
              <w:left w:val="nil"/>
              <w:bottom w:val="single" w:sz="8" w:space="0" w:color="auto"/>
              <w:right w:val="single" w:sz="4" w:space="0" w:color="auto"/>
            </w:tcBorders>
            <w:shd w:val="clear" w:color="000000" w:fill="000000"/>
            <w:hideMark/>
          </w:tcPr>
          <w:p w14:paraId="25984FB4" w14:textId="03EDBBDE" w:rsidR="00D254E3" w:rsidRPr="000A7FD1" w:rsidRDefault="00D254E3" w:rsidP="00AC4220">
            <w:pPr>
              <w:widowControl/>
              <w:adjustRightInd/>
              <w:spacing w:before="0" w:after="0"/>
              <w:textAlignment w:val="auto"/>
              <w:rPr>
                <w:rFonts w:cs="Arial"/>
                <w:b/>
                <w:bCs/>
                <w:sz w:val="18"/>
                <w:szCs w:val="18"/>
                <w:u w:val="single"/>
              </w:rPr>
            </w:pPr>
          </w:p>
        </w:tc>
        <w:tc>
          <w:tcPr>
            <w:tcW w:w="340" w:type="pct"/>
            <w:tcBorders>
              <w:top w:val="single" w:sz="4" w:space="0" w:color="auto"/>
              <w:left w:val="nil"/>
              <w:bottom w:val="nil"/>
              <w:right w:val="single" w:sz="8" w:space="0" w:color="auto"/>
            </w:tcBorders>
            <w:shd w:val="clear" w:color="000000" w:fill="000000"/>
            <w:hideMark/>
          </w:tcPr>
          <w:p w14:paraId="5F3674B2" w14:textId="77777777" w:rsidR="00D254E3" w:rsidRPr="000A7FD1" w:rsidRDefault="00D254E3"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c>
          <w:tcPr>
            <w:tcW w:w="170" w:type="pct"/>
            <w:tcBorders>
              <w:top w:val="nil"/>
              <w:left w:val="nil"/>
              <w:bottom w:val="nil"/>
              <w:right w:val="nil"/>
            </w:tcBorders>
            <w:shd w:val="clear" w:color="000000" w:fill="000000"/>
            <w:noWrap/>
            <w:vAlign w:val="bottom"/>
            <w:hideMark/>
          </w:tcPr>
          <w:p w14:paraId="4727B55E" w14:textId="77777777" w:rsidR="00D254E3" w:rsidRPr="000A7FD1" w:rsidRDefault="00D254E3"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nil"/>
              <w:left w:val="nil"/>
              <w:bottom w:val="nil"/>
              <w:right w:val="nil"/>
            </w:tcBorders>
            <w:shd w:val="clear" w:color="000000" w:fill="000000"/>
            <w:noWrap/>
            <w:vAlign w:val="bottom"/>
            <w:hideMark/>
          </w:tcPr>
          <w:p w14:paraId="5965B5C8" w14:textId="77777777" w:rsidR="00D254E3" w:rsidRPr="000A7FD1" w:rsidRDefault="00D254E3"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nil"/>
              <w:left w:val="nil"/>
              <w:bottom w:val="nil"/>
              <w:right w:val="nil"/>
            </w:tcBorders>
            <w:shd w:val="clear" w:color="000000" w:fill="000000"/>
            <w:noWrap/>
            <w:vAlign w:val="bottom"/>
            <w:hideMark/>
          </w:tcPr>
          <w:p w14:paraId="2DFBA34E" w14:textId="77777777" w:rsidR="00D254E3" w:rsidRPr="000A7FD1" w:rsidRDefault="00D254E3"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nil"/>
              <w:left w:val="nil"/>
              <w:bottom w:val="nil"/>
              <w:right w:val="nil"/>
            </w:tcBorders>
            <w:shd w:val="clear" w:color="000000" w:fill="000000"/>
            <w:noWrap/>
            <w:vAlign w:val="bottom"/>
            <w:hideMark/>
          </w:tcPr>
          <w:p w14:paraId="29B4C586" w14:textId="77777777" w:rsidR="00D254E3" w:rsidRPr="000A7FD1" w:rsidRDefault="00D254E3"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tcBorders>
              <w:top w:val="nil"/>
              <w:left w:val="nil"/>
              <w:bottom w:val="nil"/>
              <w:right w:val="single" w:sz="12" w:space="0" w:color="auto"/>
            </w:tcBorders>
            <w:shd w:val="clear" w:color="000000" w:fill="000000"/>
            <w:noWrap/>
            <w:vAlign w:val="bottom"/>
            <w:hideMark/>
          </w:tcPr>
          <w:p w14:paraId="170A6585" w14:textId="77777777" w:rsidR="00D254E3" w:rsidRPr="000A7FD1" w:rsidRDefault="00D254E3"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r>
      <w:tr w:rsidR="00AC010F" w:rsidRPr="000A7FD1" w14:paraId="4551FB02" w14:textId="77777777" w:rsidTr="0011164E">
        <w:tblPrEx>
          <w:tblBorders>
            <w:top w:val="none" w:sz="0" w:space="0" w:color="auto"/>
            <w:left w:val="none" w:sz="0" w:space="0" w:color="auto"/>
            <w:bottom w:val="none" w:sz="0" w:space="0" w:color="auto"/>
            <w:right w:val="none" w:sz="0" w:space="0" w:color="auto"/>
          </w:tblBorders>
        </w:tblPrEx>
        <w:trPr>
          <w:trHeight w:val="458"/>
        </w:trPr>
        <w:tc>
          <w:tcPr>
            <w:tcW w:w="410" w:type="pct"/>
            <w:vMerge/>
            <w:tcBorders>
              <w:top w:val="single" w:sz="8" w:space="0" w:color="auto"/>
              <w:left w:val="single" w:sz="12" w:space="0" w:color="auto"/>
              <w:bottom w:val="single" w:sz="8" w:space="0" w:color="auto"/>
              <w:right w:val="single" w:sz="4" w:space="0" w:color="auto"/>
            </w:tcBorders>
            <w:vAlign w:val="center"/>
            <w:hideMark/>
          </w:tcPr>
          <w:p w14:paraId="7101553D"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val="restart"/>
            <w:tcBorders>
              <w:top w:val="nil"/>
              <w:left w:val="single" w:sz="4" w:space="0" w:color="auto"/>
              <w:bottom w:val="single" w:sz="8" w:space="0" w:color="auto"/>
              <w:right w:val="nil"/>
            </w:tcBorders>
            <w:shd w:val="clear" w:color="auto" w:fill="auto"/>
            <w:hideMark/>
          </w:tcPr>
          <w:p w14:paraId="5B2FEAD6" w14:textId="77777777" w:rsidR="00AC4220" w:rsidRPr="000A7FD1" w:rsidRDefault="00AC4220" w:rsidP="00AC4220">
            <w:pPr>
              <w:widowControl/>
              <w:adjustRightInd/>
              <w:spacing w:before="0" w:after="240"/>
              <w:textAlignment w:val="auto"/>
              <w:rPr>
                <w:rFonts w:cs="Arial"/>
                <w:color w:val="000000"/>
                <w:sz w:val="18"/>
                <w:szCs w:val="18"/>
              </w:rPr>
            </w:pPr>
            <w:r w:rsidRPr="000A7FD1">
              <w:rPr>
                <w:rFonts w:cs="Arial"/>
                <w:color w:val="000000"/>
                <w:sz w:val="18"/>
                <w:szCs w:val="18"/>
                <w:u w:val="single"/>
              </w:rPr>
              <w:t>Occurrence/validity:</w:t>
            </w:r>
            <w:r w:rsidRPr="000A7FD1">
              <w:rPr>
                <w:rFonts w:cs="Arial"/>
                <w:color w:val="000000"/>
                <w:sz w:val="18"/>
                <w:szCs w:val="18"/>
              </w:rPr>
              <w:br/>
              <w:t>1. Recorded transactions and events did not actually occur or do not pertain to the entity.</w:t>
            </w:r>
            <w:r w:rsidRPr="000A7FD1">
              <w:rPr>
                <w:rFonts w:cs="Arial"/>
                <w:color w:val="000000"/>
                <w:sz w:val="18"/>
                <w:szCs w:val="18"/>
              </w:rPr>
              <w:br/>
            </w:r>
          </w:p>
        </w:tc>
        <w:tc>
          <w:tcPr>
            <w:tcW w:w="349" w:type="pct"/>
            <w:gridSpan w:val="2"/>
            <w:tcBorders>
              <w:top w:val="nil"/>
              <w:left w:val="single" w:sz="8" w:space="0" w:color="auto"/>
              <w:bottom w:val="nil"/>
              <w:right w:val="nil"/>
            </w:tcBorders>
            <w:shd w:val="clear" w:color="000000" w:fill="FFFFFF"/>
            <w:hideMark/>
          </w:tcPr>
          <w:p w14:paraId="58510050"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[e.g., cash - existence, LIRA.1]</w:t>
            </w:r>
          </w:p>
        </w:tc>
        <w:tc>
          <w:tcPr>
            <w:tcW w:w="379" w:type="pct"/>
            <w:vMerge w:val="restart"/>
            <w:tcBorders>
              <w:top w:val="nil"/>
              <w:left w:val="single" w:sz="4" w:space="0" w:color="auto"/>
              <w:bottom w:val="single" w:sz="4" w:space="0" w:color="000000"/>
              <w:right w:val="single" w:sz="4" w:space="0" w:color="auto"/>
            </w:tcBorders>
            <w:shd w:val="clear" w:color="auto" w:fill="auto"/>
            <w:hideMark/>
          </w:tcPr>
          <w:p w14:paraId="3685DE78"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c>
          <w:tcPr>
            <w:tcW w:w="291" w:type="pct"/>
            <w:gridSpan w:val="3"/>
            <w:vMerge w:val="restart"/>
            <w:tcBorders>
              <w:top w:val="nil"/>
              <w:left w:val="single" w:sz="4" w:space="0" w:color="auto"/>
              <w:right w:val="single" w:sz="4" w:space="0" w:color="auto"/>
            </w:tcBorders>
            <w:shd w:val="clear" w:color="auto" w:fill="auto"/>
            <w:hideMark/>
          </w:tcPr>
          <w:p w14:paraId="48B48087"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c>
          <w:tcPr>
            <w:tcW w:w="72" w:type="pct"/>
            <w:tcBorders>
              <w:top w:val="single" w:sz="4" w:space="0" w:color="auto"/>
              <w:left w:val="single" w:sz="4" w:space="0" w:color="auto"/>
              <w:right w:val="single" w:sz="4" w:space="0" w:color="auto"/>
            </w:tcBorders>
            <w:shd w:val="clear" w:color="000000" w:fill="000000"/>
            <w:hideMark/>
          </w:tcPr>
          <w:p w14:paraId="4FB39A34"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6" w:type="pct"/>
            <w:gridSpan w:val="4"/>
            <w:vMerge w:val="restart"/>
            <w:tcBorders>
              <w:top w:val="single" w:sz="8" w:space="0" w:color="auto"/>
              <w:left w:val="single" w:sz="4" w:space="0" w:color="auto"/>
              <w:right w:val="single" w:sz="4" w:space="0" w:color="auto"/>
            </w:tcBorders>
            <w:shd w:val="clear" w:color="auto" w:fill="auto"/>
            <w:hideMark/>
          </w:tcPr>
          <w:p w14:paraId="382F8A98" w14:textId="4A7CD188" w:rsidR="00C35877" w:rsidRPr="000A7FD1" w:rsidRDefault="00AC4220" w:rsidP="00E3718D">
            <w:pPr>
              <w:widowControl/>
              <w:adjustRightInd/>
              <w:spacing w:before="0" w:after="0"/>
              <w:textAlignment w:val="auto"/>
              <w:rPr>
                <w:rFonts w:cs="Arial"/>
                <w:color w:val="000000"/>
                <w:sz w:val="18"/>
                <w:szCs w:val="18"/>
              </w:rPr>
            </w:pPr>
            <w:r w:rsidRPr="000A7FD1">
              <w:rPr>
                <w:rFonts w:cs="Arial"/>
                <w:color w:val="000000"/>
                <w:sz w:val="18"/>
                <w:szCs w:val="18"/>
              </w:rPr>
              <w:t>1a. Recorded transactions, events, and related processing procedures are authorized by federal laws, regulations, contracts, grant agreements, and management policy.</w:t>
            </w:r>
          </w:p>
        </w:tc>
        <w:tc>
          <w:tcPr>
            <w:tcW w:w="243" w:type="pct"/>
            <w:tcBorders>
              <w:top w:val="single" w:sz="8" w:space="0" w:color="auto"/>
              <w:left w:val="nil"/>
              <w:bottom w:val="nil"/>
              <w:right w:val="nil"/>
            </w:tcBorders>
            <w:shd w:val="clear" w:color="000000" w:fill="FFFFFF"/>
            <w:vAlign w:val="center"/>
            <w:hideMark/>
          </w:tcPr>
          <w:p w14:paraId="12E4AA8F"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single" w:sz="8" w:space="0" w:color="auto"/>
              <w:left w:val="single" w:sz="4" w:space="0" w:color="auto"/>
              <w:bottom w:val="nil"/>
              <w:right w:val="single" w:sz="8" w:space="0" w:color="auto"/>
            </w:tcBorders>
            <w:shd w:val="clear" w:color="000000" w:fill="FFFFFF"/>
            <w:noWrap/>
            <w:vAlign w:val="center"/>
            <w:hideMark/>
          </w:tcPr>
          <w:p w14:paraId="696FF269"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single" w:sz="4" w:space="0" w:color="auto"/>
              <w:left w:val="nil"/>
              <w:bottom w:val="nil"/>
              <w:right w:val="single" w:sz="4" w:space="0" w:color="auto"/>
            </w:tcBorders>
            <w:shd w:val="clear" w:color="000000" w:fill="FFFFFF"/>
            <w:noWrap/>
            <w:vAlign w:val="center"/>
            <w:hideMark/>
          </w:tcPr>
          <w:p w14:paraId="06B38468"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single" w:sz="4" w:space="0" w:color="auto"/>
              <w:left w:val="nil"/>
              <w:bottom w:val="nil"/>
              <w:right w:val="single" w:sz="8" w:space="0" w:color="auto"/>
            </w:tcBorders>
            <w:shd w:val="clear" w:color="000000" w:fill="FFFFFF"/>
            <w:noWrap/>
            <w:vAlign w:val="center"/>
            <w:hideMark/>
          </w:tcPr>
          <w:p w14:paraId="2FEB509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single" w:sz="4" w:space="0" w:color="auto"/>
              <w:left w:val="nil"/>
              <w:bottom w:val="nil"/>
              <w:right w:val="nil"/>
            </w:tcBorders>
            <w:shd w:val="clear" w:color="000000" w:fill="FFFFFF"/>
            <w:noWrap/>
            <w:vAlign w:val="center"/>
            <w:hideMark/>
          </w:tcPr>
          <w:p w14:paraId="717F7D48"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single" w:sz="4" w:space="0" w:color="auto"/>
              <w:left w:val="single" w:sz="4" w:space="0" w:color="auto"/>
              <w:bottom w:val="nil"/>
              <w:right w:val="nil"/>
            </w:tcBorders>
            <w:shd w:val="clear" w:color="000000" w:fill="FFFFFF"/>
            <w:noWrap/>
            <w:vAlign w:val="center"/>
            <w:hideMark/>
          </w:tcPr>
          <w:p w14:paraId="42F6177C"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5EFD246"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c>
          <w:tcPr>
            <w:tcW w:w="344" w:type="pct"/>
            <w:gridSpan w:val="3"/>
            <w:vMerge w:val="restart"/>
            <w:tcBorders>
              <w:top w:val="single" w:sz="4" w:space="0" w:color="auto"/>
              <w:left w:val="single" w:sz="4" w:space="0" w:color="auto"/>
              <w:bottom w:val="single" w:sz="4" w:space="0" w:color="000000"/>
              <w:right w:val="single" w:sz="12" w:space="0" w:color="auto"/>
            </w:tcBorders>
            <w:shd w:val="clear" w:color="000000" w:fill="FFFFFF"/>
            <w:vAlign w:val="center"/>
            <w:hideMark/>
          </w:tcPr>
          <w:p w14:paraId="0C62CCA8"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r>
      <w:tr w:rsidR="00AC010F" w:rsidRPr="000A7FD1" w14:paraId="054173C8" w14:textId="77777777" w:rsidTr="00466064">
        <w:tblPrEx>
          <w:tblBorders>
            <w:top w:val="none" w:sz="0" w:space="0" w:color="auto"/>
            <w:left w:val="none" w:sz="0" w:space="0" w:color="auto"/>
            <w:bottom w:val="none" w:sz="0" w:space="0" w:color="auto"/>
            <w:right w:val="none" w:sz="0" w:space="0" w:color="auto"/>
          </w:tblBorders>
        </w:tblPrEx>
        <w:tc>
          <w:tcPr>
            <w:tcW w:w="410" w:type="pct"/>
            <w:vMerge/>
            <w:tcBorders>
              <w:top w:val="single" w:sz="8" w:space="0" w:color="auto"/>
              <w:left w:val="single" w:sz="12" w:space="0" w:color="auto"/>
              <w:bottom w:val="single" w:sz="8" w:space="0" w:color="auto"/>
              <w:right w:val="single" w:sz="4" w:space="0" w:color="auto"/>
            </w:tcBorders>
            <w:vAlign w:val="center"/>
            <w:hideMark/>
          </w:tcPr>
          <w:p w14:paraId="75175B7B"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tcBorders>
              <w:top w:val="single" w:sz="8" w:space="0" w:color="auto"/>
              <w:left w:val="single" w:sz="4" w:space="0" w:color="auto"/>
              <w:bottom w:val="single" w:sz="8" w:space="0" w:color="auto"/>
              <w:right w:val="nil"/>
            </w:tcBorders>
            <w:vAlign w:val="center"/>
            <w:hideMark/>
          </w:tcPr>
          <w:p w14:paraId="1C1D8322" w14:textId="77777777" w:rsidR="00AC4220" w:rsidRPr="000A7FD1" w:rsidRDefault="00AC4220" w:rsidP="00AC4220">
            <w:pPr>
              <w:widowControl/>
              <w:adjustRightInd/>
              <w:spacing w:before="0" w:after="0"/>
              <w:textAlignment w:val="auto"/>
              <w:rPr>
                <w:rFonts w:cs="Arial"/>
                <w:color w:val="000000"/>
                <w:sz w:val="18"/>
                <w:szCs w:val="18"/>
              </w:rPr>
            </w:pPr>
          </w:p>
        </w:tc>
        <w:tc>
          <w:tcPr>
            <w:tcW w:w="349" w:type="pct"/>
            <w:gridSpan w:val="2"/>
            <w:tcBorders>
              <w:left w:val="single" w:sz="8" w:space="0" w:color="auto"/>
              <w:bottom w:val="single" w:sz="8" w:space="0" w:color="auto"/>
              <w:right w:val="nil"/>
            </w:tcBorders>
            <w:shd w:val="clear" w:color="000000" w:fill="FFFFFF"/>
            <w:hideMark/>
          </w:tcPr>
          <w:p w14:paraId="333C7629"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79" w:type="pct"/>
            <w:vMerge/>
            <w:tcBorders>
              <w:left w:val="single" w:sz="4" w:space="0" w:color="auto"/>
              <w:bottom w:val="single" w:sz="8" w:space="0" w:color="auto"/>
              <w:right w:val="single" w:sz="4" w:space="0" w:color="auto"/>
            </w:tcBorders>
            <w:vAlign w:val="center"/>
            <w:hideMark/>
          </w:tcPr>
          <w:p w14:paraId="318DCF53" w14:textId="77777777" w:rsidR="00AC4220" w:rsidRPr="000A7FD1" w:rsidRDefault="00AC4220" w:rsidP="00AC4220">
            <w:pPr>
              <w:widowControl/>
              <w:adjustRightInd/>
              <w:spacing w:before="0" w:after="0"/>
              <w:textAlignment w:val="auto"/>
              <w:rPr>
                <w:rFonts w:cs="Arial"/>
                <w:color w:val="000000"/>
                <w:sz w:val="18"/>
                <w:szCs w:val="18"/>
              </w:rPr>
            </w:pPr>
          </w:p>
        </w:tc>
        <w:tc>
          <w:tcPr>
            <w:tcW w:w="291" w:type="pct"/>
            <w:gridSpan w:val="3"/>
            <w:vMerge/>
            <w:tcBorders>
              <w:left w:val="single" w:sz="4" w:space="0" w:color="auto"/>
              <w:bottom w:val="single" w:sz="8" w:space="0" w:color="auto"/>
              <w:right w:val="single" w:sz="4" w:space="0" w:color="auto"/>
            </w:tcBorders>
            <w:vAlign w:val="center"/>
            <w:hideMark/>
          </w:tcPr>
          <w:p w14:paraId="2857611F" w14:textId="77777777" w:rsidR="00AC4220" w:rsidRPr="000A7FD1" w:rsidRDefault="00AC4220" w:rsidP="00AC4220">
            <w:pPr>
              <w:widowControl/>
              <w:adjustRightInd/>
              <w:spacing w:before="0" w:after="0"/>
              <w:textAlignment w:val="auto"/>
              <w:rPr>
                <w:rFonts w:cs="Arial"/>
                <w:color w:val="000000"/>
                <w:sz w:val="18"/>
                <w:szCs w:val="18"/>
              </w:rPr>
            </w:pPr>
          </w:p>
        </w:tc>
        <w:tc>
          <w:tcPr>
            <w:tcW w:w="72" w:type="pct"/>
            <w:tcBorders>
              <w:left w:val="single" w:sz="4" w:space="0" w:color="auto"/>
              <w:right w:val="single" w:sz="4" w:space="0" w:color="auto"/>
            </w:tcBorders>
            <w:shd w:val="clear" w:color="000000" w:fill="000000"/>
            <w:hideMark/>
          </w:tcPr>
          <w:p w14:paraId="3B359E0E"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6" w:type="pct"/>
            <w:gridSpan w:val="4"/>
            <w:vMerge/>
            <w:tcBorders>
              <w:left w:val="single" w:sz="4" w:space="0" w:color="auto"/>
              <w:bottom w:val="single" w:sz="8" w:space="0" w:color="auto"/>
              <w:right w:val="single" w:sz="4" w:space="0" w:color="auto"/>
            </w:tcBorders>
            <w:vAlign w:val="center"/>
            <w:hideMark/>
          </w:tcPr>
          <w:p w14:paraId="12FD56FB" w14:textId="77777777" w:rsidR="00AC4220" w:rsidRPr="000A7FD1" w:rsidRDefault="00AC4220" w:rsidP="00AC4220">
            <w:pPr>
              <w:widowControl/>
              <w:adjustRightInd/>
              <w:spacing w:before="0" w:after="0"/>
              <w:textAlignment w:val="auto"/>
              <w:rPr>
                <w:rFonts w:cs="Arial"/>
                <w:color w:val="000000"/>
                <w:sz w:val="18"/>
                <w:szCs w:val="18"/>
              </w:rPr>
            </w:pPr>
          </w:p>
        </w:tc>
        <w:tc>
          <w:tcPr>
            <w:tcW w:w="243" w:type="pct"/>
            <w:tcBorders>
              <w:top w:val="single" w:sz="4" w:space="0" w:color="auto"/>
              <w:left w:val="nil"/>
              <w:bottom w:val="single" w:sz="8" w:space="0" w:color="auto"/>
              <w:right w:val="nil"/>
            </w:tcBorders>
            <w:shd w:val="clear" w:color="000000" w:fill="FFFFFF"/>
            <w:vAlign w:val="center"/>
            <w:hideMark/>
          </w:tcPr>
          <w:p w14:paraId="1BFE9122"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single" w:sz="4" w:space="0" w:color="auto"/>
              <w:left w:val="single" w:sz="4" w:space="0" w:color="auto"/>
              <w:bottom w:val="single" w:sz="8" w:space="0" w:color="auto"/>
              <w:right w:val="single" w:sz="8" w:space="0" w:color="auto"/>
            </w:tcBorders>
            <w:shd w:val="clear" w:color="000000" w:fill="FFFFFF"/>
            <w:noWrap/>
            <w:vAlign w:val="center"/>
            <w:hideMark/>
          </w:tcPr>
          <w:p w14:paraId="101296CD"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single" w:sz="4" w:space="0" w:color="auto"/>
              <w:left w:val="nil"/>
              <w:bottom w:val="single" w:sz="8" w:space="0" w:color="auto"/>
              <w:right w:val="single" w:sz="4" w:space="0" w:color="auto"/>
            </w:tcBorders>
            <w:shd w:val="clear" w:color="000000" w:fill="FFFFFF"/>
            <w:noWrap/>
            <w:vAlign w:val="center"/>
            <w:hideMark/>
          </w:tcPr>
          <w:p w14:paraId="342FFAF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single" w:sz="4" w:space="0" w:color="auto"/>
              <w:left w:val="nil"/>
              <w:bottom w:val="single" w:sz="8" w:space="0" w:color="auto"/>
              <w:right w:val="single" w:sz="8" w:space="0" w:color="auto"/>
            </w:tcBorders>
            <w:shd w:val="clear" w:color="000000" w:fill="FFFFFF"/>
            <w:noWrap/>
            <w:vAlign w:val="center"/>
            <w:hideMark/>
          </w:tcPr>
          <w:p w14:paraId="2FBB6398"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single" w:sz="4" w:space="0" w:color="auto"/>
              <w:left w:val="nil"/>
              <w:bottom w:val="single" w:sz="8" w:space="0" w:color="auto"/>
              <w:right w:val="nil"/>
            </w:tcBorders>
            <w:shd w:val="clear" w:color="000000" w:fill="FFFFFF"/>
            <w:noWrap/>
            <w:vAlign w:val="center"/>
            <w:hideMark/>
          </w:tcPr>
          <w:p w14:paraId="42E888D9"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single" w:sz="4" w:space="0" w:color="auto"/>
              <w:left w:val="single" w:sz="4" w:space="0" w:color="auto"/>
              <w:bottom w:val="single" w:sz="8" w:space="0" w:color="auto"/>
              <w:right w:val="nil"/>
            </w:tcBorders>
            <w:shd w:val="clear" w:color="000000" w:fill="FFFFFF"/>
            <w:noWrap/>
            <w:vAlign w:val="center"/>
            <w:hideMark/>
          </w:tcPr>
          <w:p w14:paraId="6DD6C35F"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vMerge/>
            <w:tcBorders>
              <w:top w:val="single" w:sz="4" w:space="0" w:color="auto"/>
              <w:left w:val="single" w:sz="4" w:space="0" w:color="auto"/>
              <w:bottom w:val="single" w:sz="8" w:space="0" w:color="auto"/>
              <w:right w:val="single" w:sz="4" w:space="0" w:color="auto"/>
            </w:tcBorders>
            <w:vAlign w:val="center"/>
            <w:hideMark/>
          </w:tcPr>
          <w:p w14:paraId="63120BD8" w14:textId="77777777" w:rsidR="00AC4220" w:rsidRPr="000A7FD1" w:rsidRDefault="00AC4220" w:rsidP="00AC4220">
            <w:pPr>
              <w:widowControl/>
              <w:adjustRightInd/>
              <w:spacing w:before="0" w:after="0"/>
              <w:textAlignment w:val="auto"/>
              <w:rPr>
                <w:rFonts w:cs="Arial"/>
                <w:color w:val="000000"/>
                <w:sz w:val="18"/>
                <w:szCs w:val="18"/>
              </w:rPr>
            </w:pPr>
          </w:p>
        </w:tc>
        <w:tc>
          <w:tcPr>
            <w:tcW w:w="344" w:type="pct"/>
            <w:gridSpan w:val="3"/>
            <w:vMerge/>
            <w:tcBorders>
              <w:top w:val="single" w:sz="4" w:space="0" w:color="auto"/>
              <w:left w:val="single" w:sz="4" w:space="0" w:color="auto"/>
              <w:bottom w:val="single" w:sz="4" w:space="0" w:color="000000"/>
              <w:right w:val="single" w:sz="12" w:space="0" w:color="auto"/>
            </w:tcBorders>
            <w:vAlign w:val="center"/>
            <w:hideMark/>
          </w:tcPr>
          <w:p w14:paraId="465D52E2" w14:textId="77777777" w:rsidR="00AC4220" w:rsidRPr="000A7FD1" w:rsidRDefault="00AC4220" w:rsidP="00AC4220">
            <w:pPr>
              <w:widowControl/>
              <w:adjustRightInd/>
              <w:spacing w:before="0" w:after="0"/>
              <w:textAlignment w:val="auto"/>
              <w:rPr>
                <w:rFonts w:cs="Arial"/>
                <w:color w:val="000000"/>
                <w:sz w:val="18"/>
                <w:szCs w:val="18"/>
              </w:rPr>
            </w:pPr>
          </w:p>
        </w:tc>
      </w:tr>
      <w:tr w:rsidR="00AC010F" w:rsidRPr="000A7FD1" w14:paraId="50175195" w14:textId="77777777" w:rsidTr="00466064">
        <w:tblPrEx>
          <w:tblBorders>
            <w:top w:val="none" w:sz="0" w:space="0" w:color="auto"/>
            <w:left w:val="none" w:sz="0" w:space="0" w:color="auto"/>
            <w:bottom w:val="none" w:sz="0" w:space="0" w:color="auto"/>
            <w:right w:val="none" w:sz="0" w:space="0" w:color="auto"/>
          </w:tblBorders>
        </w:tblPrEx>
        <w:tc>
          <w:tcPr>
            <w:tcW w:w="410" w:type="pct"/>
            <w:vMerge/>
            <w:tcBorders>
              <w:top w:val="single" w:sz="8" w:space="0" w:color="auto"/>
              <w:left w:val="single" w:sz="12" w:space="0" w:color="auto"/>
              <w:bottom w:val="single" w:sz="8" w:space="0" w:color="auto"/>
              <w:right w:val="single" w:sz="4" w:space="0" w:color="auto"/>
            </w:tcBorders>
            <w:vAlign w:val="center"/>
            <w:hideMark/>
          </w:tcPr>
          <w:p w14:paraId="3B0384AA"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tcBorders>
              <w:top w:val="single" w:sz="8" w:space="0" w:color="auto"/>
              <w:left w:val="single" w:sz="4" w:space="0" w:color="auto"/>
              <w:bottom w:val="single" w:sz="8" w:space="0" w:color="auto"/>
              <w:right w:val="nil"/>
            </w:tcBorders>
            <w:vAlign w:val="center"/>
            <w:hideMark/>
          </w:tcPr>
          <w:p w14:paraId="110552C4" w14:textId="77777777" w:rsidR="00AC4220" w:rsidRPr="000A7FD1" w:rsidRDefault="00AC4220" w:rsidP="00AC4220">
            <w:pPr>
              <w:widowControl/>
              <w:adjustRightInd/>
              <w:spacing w:before="0" w:after="0"/>
              <w:textAlignment w:val="auto"/>
              <w:rPr>
                <w:rFonts w:cs="Arial"/>
                <w:color w:val="000000"/>
                <w:sz w:val="18"/>
                <w:szCs w:val="18"/>
              </w:rPr>
            </w:pPr>
          </w:p>
        </w:tc>
        <w:tc>
          <w:tcPr>
            <w:tcW w:w="349" w:type="pct"/>
            <w:gridSpan w:val="2"/>
            <w:vMerge w:val="restart"/>
            <w:tcBorders>
              <w:top w:val="single" w:sz="8" w:space="0" w:color="auto"/>
              <w:left w:val="single" w:sz="8" w:space="0" w:color="auto"/>
              <w:bottom w:val="single" w:sz="8" w:space="0" w:color="auto"/>
              <w:right w:val="single" w:sz="4" w:space="0" w:color="auto"/>
            </w:tcBorders>
            <w:shd w:val="clear" w:color="000000" w:fill="FFFFFF"/>
            <w:hideMark/>
          </w:tcPr>
          <w:p w14:paraId="1444D6FD"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[e.g., revenue - occurrence, LIRA.2]</w:t>
            </w:r>
          </w:p>
        </w:tc>
        <w:tc>
          <w:tcPr>
            <w:tcW w:w="379" w:type="pct"/>
            <w:vMerge w:val="restart"/>
            <w:tcBorders>
              <w:top w:val="single" w:sz="8" w:space="0" w:color="auto"/>
              <w:left w:val="single" w:sz="4" w:space="0" w:color="auto"/>
              <w:bottom w:val="single" w:sz="8" w:space="0" w:color="auto"/>
              <w:right w:val="single" w:sz="4" w:space="0" w:color="auto"/>
            </w:tcBorders>
            <w:shd w:val="clear" w:color="auto" w:fill="auto"/>
            <w:hideMark/>
          </w:tcPr>
          <w:p w14:paraId="2FF85AB6"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c>
          <w:tcPr>
            <w:tcW w:w="291" w:type="pct"/>
            <w:gridSpan w:val="3"/>
            <w:vMerge w:val="restart"/>
            <w:tcBorders>
              <w:top w:val="single" w:sz="8" w:space="0" w:color="auto"/>
              <w:left w:val="single" w:sz="4" w:space="0" w:color="auto"/>
              <w:bottom w:val="single" w:sz="8" w:space="0" w:color="auto"/>
              <w:right w:val="single" w:sz="8" w:space="0" w:color="auto"/>
            </w:tcBorders>
            <w:shd w:val="clear" w:color="auto" w:fill="auto"/>
            <w:hideMark/>
          </w:tcPr>
          <w:p w14:paraId="65BCD7CC"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c>
          <w:tcPr>
            <w:tcW w:w="72" w:type="pct"/>
            <w:tcBorders>
              <w:left w:val="nil"/>
              <w:bottom w:val="single" w:sz="8" w:space="0" w:color="auto"/>
              <w:right w:val="single" w:sz="8" w:space="0" w:color="auto"/>
            </w:tcBorders>
            <w:shd w:val="clear" w:color="000000" w:fill="000000"/>
            <w:hideMark/>
          </w:tcPr>
          <w:p w14:paraId="18AFAB97"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c>
          <w:tcPr>
            <w:tcW w:w="726" w:type="pct"/>
            <w:gridSpan w:val="4"/>
            <w:tcBorders>
              <w:top w:val="single" w:sz="8" w:space="0" w:color="auto"/>
              <w:left w:val="nil"/>
              <w:bottom w:val="single" w:sz="8" w:space="0" w:color="auto"/>
              <w:right w:val="single" w:sz="4" w:space="0" w:color="auto"/>
            </w:tcBorders>
            <w:shd w:val="clear" w:color="000000" w:fill="FFFFFF"/>
            <w:hideMark/>
          </w:tcPr>
          <w:p w14:paraId="26568AB6"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1b. Appropriate individuals approve recorded transactions and events in accordance with management’s general or specific criteria.</w:t>
            </w:r>
          </w:p>
        </w:tc>
        <w:tc>
          <w:tcPr>
            <w:tcW w:w="243" w:type="pct"/>
            <w:tcBorders>
              <w:top w:val="single" w:sz="8" w:space="0" w:color="auto"/>
              <w:left w:val="nil"/>
              <w:bottom w:val="single" w:sz="8" w:space="0" w:color="auto"/>
              <w:right w:val="nil"/>
            </w:tcBorders>
            <w:shd w:val="clear" w:color="000000" w:fill="FFFFFF"/>
            <w:vAlign w:val="center"/>
            <w:hideMark/>
          </w:tcPr>
          <w:p w14:paraId="61142D3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single" w:sz="8" w:space="0" w:color="auto"/>
              <w:left w:val="single" w:sz="4" w:space="0" w:color="auto"/>
              <w:bottom w:val="single" w:sz="8" w:space="0" w:color="auto"/>
              <w:right w:val="single" w:sz="8" w:space="0" w:color="auto"/>
            </w:tcBorders>
            <w:shd w:val="clear" w:color="000000" w:fill="FFFFFF"/>
            <w:noWrap/>
            <w:vAlign w:val="center"/>
            <w:hideMark/>
          </w:tcPr>
          <w:p w14:paraId="5E16E97F"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single" w:sz="8" w:space="0" w:color="auto"/>
              <w:left w:val="nil"/>
              <w:bottom w:val="single" w:sz="8" w:space="0" w:color="auto"/>
              <w:right w:val="single" w:sz="4" w:space="0" w:color="auto"/>
            </w:tcBorders>
            <w:shd w:val="clear" w:color="000000" w:fill="FFFFFF"/>
            <w:noWrap/>
            <w:vAlign w:val="center"/>
            <w:hideMark/>
          </w:tcPr>
          <w:p w14:paraId="3008A386"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single" w:sz="8" w:space="0" w:color="auto"/>
              <w:left w:val="nil"/>
              <w:bottom w:val="single" w:sz="8" w:space="0" w:color="auto"/>
              <w:right w:val="single" w:sz="8" w:space="0" w:color="auto"/>
            </w:tcBorders>
            <w:shd w:val="clear" w:color="000000" w:fill="FFFFFF"/>
            <w:noWrap/>
            <w:vAlign w:val="center"/>
            <w:hideMark/>
          </w:tcPr>
          <w:p w14:paraId="56762538"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single" w:sz="8" w:space="0" w:color="auto"/>
              <w:left w:val="nil"/>
              <w:bottom w:val="single" w:sz="8" w:space="0" w:color="auto"/>
              <w:right w:val="nil"/>
            </w:tcBorders>
            <w:shd w:val="clear" w:color="000000" w:fill="FFFFFF"/>
            <w:noWrap/>
            <w:vAlign w:val="center"/>
            <w:hideMark/>
          </w:tcPr>
          <w:p w14:paraId="0D7EB182"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single" w:sz="8" w:space="0" w:color="auto"/>
              <w:left w:val="single" w:sz="4" w:space="0" w:color="auto"/>
              <w:bottom w:val="single" w:sz="8" w:space="0" w:color="auto"/>
              <w:right w:val="nil"/>
            </w:tcBorders>
            <w:shd w:val="clear" w:color="000000" w:fill="FFFFFF"/>
            <w:noWrap/>
            <w:vAlign w:val="center"/>
            <w:hideMark/>
          </w:tcPr>
          <w:p w14:paraId="506C8BBC"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single" w:sz="8" w:space="0" w:color="auto"/>
              <w:left w:val="single" w:sz="4" w:space="0" w:color="auto"/>
              <w:bottom w:val="single" w:sz="8" w:space="0" w:color="auto"/>
              <w:right w:val="single" w:sz="4" w:space="0" w:color="auto"/>
            </w:tcBorders>
            <w:shd w:val="clear" w:color="000000" w:fill="FFFFFF"/>
            <w:vAlign w:val="center"/>
            <w:hideMark/>
          </w:tcPr>
          <w:p w14:paraId="6F399E62"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vMerge/>
            <w:tcBorders>
              <w:top w:val="single" w:sz="4" w:space="0" w:color="auto"/>
              <w:left w:val="single" w:sz="4" w:space="0" w:color="auto"/>
              <w:bottom w:val="single" w:sz="8" w:space="0" w:color="auto"/>
              <w:right w:val="single" w:sz="12" w:space="0" w:color="auto"/>
            </w:tcBorders>
            <w:vAlign w:val="center"/>
            <w:hideMark/>
          </w:tcPr>
          <w:p w14:paraId="107E15CF" w14:textId="77777777" w:rsidR="00AC4220" w:rsidRPr="000A7FD1" w:rsidRDefault="00AC4220" w:rsidP="00AC4220">
            <w:pPr>
              <w:widowControl/>
              <w:adjustRightInd/>
              <w:spacing w:before="0" w:after="0"/>
              <w:textAlignment w:val="auto"/>
              <w:rPr>
                <w:rFonts w:cs="Arial"/>
                <w:color w:val="000000"/>
                <w:sz w:val="18"/>
                <w:szCs w:val="18"/>
              </w:rPr>
            </w:pPr>
          </w:p>
        </w:tc>
      </w:tr>
      <w:tr w:rsidR="00D71ED5" w:rsidRPr="000A7FD1" w14:paraId="11F03A19" w14:textId="77777777" w:rsidTr="00466064">
        <w:tblPrEx>
          <w:tblBorders>
            <w:top w:val="none" w:sz="0" w:space="0" w:color="auto"/>
            <w:left w:val="none" w:sz="0" w:space="0" w:color="auto"/>
            <w:bottom w:val="none" w:sz="0" w:space="0" w:color="auto"/>
            <w:right w:val="none" w:sz="0" w:space="0" w:color="auto"/>
          </w:tblBorders>
        </w:tblPrEx>
        <w:trPr>
          <w:trHeight w:val="754"/>
        </w:trPr>
        <w:tc>
          <w:tcPr>
            <w:tcW w:w="410" w:type="pct"/>
            <w:vMerge/>
            <w:tcBorders>
              <w:top w:val="single" w:sz="8" w:space="0" w:color="auto"/>
              <w:left w:val="single" w:sz="12" w:space="0" w:color="auto"/>
              <w:bottom w:val="single" w:sz="8" w:space="0" w:color="auto"/>
              <w:right w:val="single" w:sz="4" w:space="0" w:color="auto"/>
            </w:tcBorders>
            <w:vAlign w:val="center"/>
            <w:hideMark/>
          </w:tcPr>
          <w:p w14:paraId="29A1A17D"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tcBorders>
              <w:top w:val="single" w:sz="8" w:space="0" w:color="auto"/>
              <w:left w:val="single" w:sz="4" w:space="0" w:color="auto"/>
              <w:bottom w:val="single" w:sz="8" w:space="0" w:color="auto"/>
              <w:right w:val="nil"/>
            </w:tcBorders>
            <w:vAlign w:val="center"/>
            <w:hideMark/>
          </w:tcPr>
          <w:p w14:paraId="38BD0284" w14:textId="77777777" w:rsidR="00AC4220" w:rsidRPr="000A7FD1" w:rsidRDefault="00AC4220" w:rsidP="00AC4220">
            <w:pPr>
              <w:widowControl/>
              <w:adjustRightInd/>
              <w:spacing w:before="0" w:after="0"/>
              <w:textAlignment w:val="auto"/>
              <w:rPr>
                <w:rFonts w:cs="Arial"/>
                <w:color w:val="000000"/>
                <w:sz w:val="18"/>
                <w:szCs w:val="18"/>
              </w:rPr>
            </w:pPr>
          </w:p>
        </w:tc>
        <w:tc>
          <w:tcPr>
            <w:tcW w:w="349" w:type="pct"/>
            <w:gridSpan w:val="2"/>
            <w:vMerge/>
            <w:tcBorders>
              <w:top w:val="single" w:sz="4" w:space="0" w:color="auto"/>
              <w:left w:val="single" w:sz="8" w:space="0" w:color="auto"/>
              <w:bottom w:val="single" w:sz="8" w:space="0" w:color="auto"/>
              <w:right w:val="single" w:sz="4" w:space="0" w:color="auto"/>
            </w:tcBorders>
            <w:vAlign w:val="center"/>
            <w:hideMark/>
          </w:tcPr>
          <w:p w14:paraId="46164E15" w14:textId="77777777" w:rsidR="00AC4220" w:rsidRPr="000A7FD1" w:rsidRDefault="00AC4220" w:rsidP="00AC4220">
            <w:pPr>
              <w:widowControl/>
              <w:adjustRightInd/>
              <w:spacing w:before="0" w:after="0"/>
              <w:textAlignment w:val="auto"/>
              <w:rPr>
                <w:rFonts w:cs="Arial"/>
                <w:color w:val="000000"/>
                <w:sz w:val="18"/>
                <w:szCs w:val="18"/>
              </w:rPr>
            </w:pPr>
          </w:p>
        </w:tc>
        <w:tc>
          <w:tcPr>
            <w:tcW w:w="379" w:type="pct"/>
            <w:vMerge/>
            <w:tcBorders>
              <w:top w:val="single" w:sz="4" w:space="0" w:color="auto"/>
              <w:left w:val="single" w:sz="4" w:space="0" w:color="auto"/>
              <w:bottom w:val="single" w:sz="8" w:space="0" w:color="auto"/>
              <w:right w:val="single" w:sz="4" w:space="0" w:color="auto"/>
            </w:tcBorders>
            <w:vAlign w:val="center"/>
            <w:hideMark/>
          </w:tcPr>
          <w:p w14:paraId="60BE4415" w14:textId="77777777" w:rsidR="00AC4220" w:rsidRPr="000A7FD1" w:rsidRDefault="00AC4220" w:rsidP="00AC4220">
            <w:pPr>
              <w:widowControl/>
              <w:adjustRightInd/>
              <w:spacing w:before="0" w:after="0"/>
              <w:textAlignment w:val="auto"/>
              <w:rPr>
                <w:rFonts w:cs="Arial"/>
                <w:color w:val="000000"/>
                <w:sz w:val="18"/>
                <w:szCs w:val="18"/>
              </w:rPr>
            </w:pPr>
          </w:p>
        </w:tc>
        <w:tc>
          <w:tcPr>
            <w:tcW w:w="291" w:type="pct"/>
            <w:gridSpan w:val="3"/>
            <w:vMerge/>
            <w:tcBorders>
              <w:top w:val="single" w:sz="4" w:space="0" w:color="auto"/>
              <w:left w:val="single" w:sz="4" w:space="0" w:color="auto"/>
              <w:bottom w:val="single" w:sz="8" w:space="0" w:color="auto"/>
              <w:right w:val="single" w:sz="8" w:space="0" w:color="auto"/>
            </w:tcBorders>
            <w:vAlign w:val="center"/>
            <w:hideMark/>
          </w:tcPr>
          <w:p w14:paraId="7E46CC44" w14:textId="77777777" w:rsidR="00AC4220" w:rsidRPr="000A7FD1" w:rsidRDefault="00AC4220" w:rsidP="00AC4220">
            <w:pPr>
              <w:widowControl/>
              <w:adjustRightInd/>
              <w:spacing w:before="0" w:after="0"/>
              <w:textAlignment w:val="auto"/>
              <w:rPr>
                <w:rFonts w:cs="Arial"/>
                <w:color w:val="000000"/>
                <w:sz w:val="18"/>
                <w:szCs w:val="18"/>
              </w:rPr>
            </w:pPr>
          </w:p>
        </w:tc>
        <w:tc>
          <w:tcPr>
            <w:tcW w:w="72" w:type="pct"/>
            <w:tcBorders>
              <w:top w:val="single" w:sz="8" w:space="0" w:color="auto"/>
              <w:left w:val="nil"/>
              <w:right w:val="single" w:sz="8" w:space="0" w:color="auto"/>
            </w:tcBorders>
            <w:shd w:val="clear" w:color="000000" w:fill="000000"/>
            <w:hideMark/>
          </w:tcPr>
          <w:p w14:paraId="7D174975"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c>
          <w:tcPr>
            <w:tcW w:w="726" w:type="pct"/>
            <w:gridSpan w:val="4"/>
            <w:tcBorders>
              <w:top w:val="single" w:sz="8" w:space="0" w:color="auto"/>
              <w:left w:val="nil"/>
              <w:bottom w:val="single" w:sz="8" w:space="0" w:color="auto"/>
              <w:right w:val="single" w:sz="4" w:space="0" w:color="auto"/>
            </w:tcBorders>
            <w:shd w:val="clear" w:color="000000" w:fill="FFFFFF"/>
            <w:hideMark/>
          </w:tcPr>
          <w:p w14:paraId="0169F7FB"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1c. Recorded transactions and events actually occurred and pertain to the entity.</w:t>
            </w:r>
          </w:p>
        </w:tc>
        <w:tc>
          <w:tcPr>
            <w:tcW w:w="243" w:type="pct"/>
            <w:tcBorders>
              <w:top w:val="single" w:sz="8" w:space="0" w:color="auto"/>
              <w:left w:val="nil"/>
              <w:bottom w:val="single" w:sz="4" w:space="0" w:color="auto"/>
              <w:right w:val="nil"/>
            </w:tcBorders>
            <w:shd w:val="clear" w:color="000000" w:fill="FFFFFF"/>
            <w:vAlign w:val="center"/>
            <w:hideMark/>
          </w:tcPr>
          <w:p w14:paraId="595B100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single" w:sz="8" w:space="0" w:color="auto"/>
              <w:left w:val="single" w:sz="4" w:space="0" w:color="auto"/>
              <w:bottom w:val="single" w:sz="4" w:space="0" w:color="auto"/>
              <w:right w:val="single" w:sz="8" w:space="0" w:color="auto"/>
            </w:tcBorders>
            <w:shd w:val="clear" w:color="000000" w:fill="FFFFFF"/>
            <w:noWrap/>
            <w:vAlign w:val="center"/>
            <w:hideMark/>
          </w:tcPr>
          <w:p w14:paraId="1581DC92"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single" w:sz="8" w:space="0" w:color="auto"/>
              <w:left w:val="nil"/>
              <w:bottom w:val="single" w:sz="4" w:space="0" w:color="auto"/>
              <w:right w:val="single" w:sz="4" w:space="0" w:color="auto"/>
            </w:tcBorders>
            <w:shd w:val="clear" w:color="000000" w:fill="FFFFFF"/>
            <w:noWrap/>
            <w:vAlign w:val="center"/>
            <w:hideMark/>
          </w:tcPr>
          <w:p w14:paraId="31F782B0"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single" w:sz="8" w:space="0" w:color="auto"/>
              <w:left w:val="nil"/>
              <w:bottom w:val="single" w:sz="4" w:space="0" w:color="auto"/>
              <w:right w:val="single" w:sz="8" w:space="0" w:color="auto"/>
            </w:tcBorders>
            <w:shd w:val="clear" w:color="000000" w:fill="FFFFFF"/>
            <w:noWrap/>
            <w:vAlign w:val="center"/>
            <w:hideMark/>
          </w:tcPr>
          <w:p w14:paraId="7F5D75DF"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single" w:sz="8" w:space="0" w:color="auto"/>
              <w:left w:val="nil"/>
              <w:bottom w:val="single" w:sz="4" w:space="0" w:color="auto"/>
              <w:right w:val="nil"/>
            </w:tcBorders>
            <w:shd w:val="clear" w:color="000000" w:fill="FFFFFF"/>
            <w:noWrap/>
            <w:vAlign w:val="center"/>
            <w:hideMark/>
          </w:tcPr>
          <w:p w14:paraId="3F7FE758"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single" w:sz="8" w:space="0" w:color="auto"/>
              <w:left w:val="single" w:sz="4" w:space="0" w:color="auto"/>
              <w:bottom w:val="single" w:sz="4" w:space="0" w:color="auto"/>
              <w:right w:val="single" w:sz="4" w:space="0" w:color="auto"/>
            </w:tcBorders>
            <w:shd w:val="clear" w:color="000000" w:fill="FFFFFF"/>
            <w:noWrap/>
            <w:vAlign w:val="center"/>
            <w:hideMark/>
          </w:tcPr>
          <w:p w14:paraId="28DAF436"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single" w:sz="8" w:space="0" w:color="auto"/>
              <w:left w:val="nil"/>
              <w:bottom w:val="single" w:sz="4" w:space="0" w:color="auto"/>
              <w:right w:val="single" w:sz="4" w:space="0" w:color="auto"/>
            </w:tcBorders>
            <w:shd w:val="clear" w:color="000000" w:fill="FFFFFF"/>
            <w:vAlign w:val="center"/>
            <w:hideMark/>
          </w:tcPr>
          <w:p w14:paraId="72D77BE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vMerge/>
            <w:tcBorders>
              <w:top w:val="single" w:sz="8" w:space="0" w:color="auto"/>
              <w:left w:val="single" w:sz="4" w:space="0" w:color="auto"/>
              <w:bottom w:val="single" w:sz="4" w:space="0" w:color="000000"/>
              <w:right w:val="single" w:sz="12" w:space="0" w:color="auto"/>
            </w:tcBorders>
            <w:vAlign w:val="center"/>
            <w:hideMark/>
          </w:tcPr>
          <w:p w14:paraId="4FB94746" w14:textId="77777777" w:rsidR="00AC4220" w:rsidRPr="000A7FD1" w:rsidRDefault="00AC4220" w:rsidP="00AC4220">
            <w:pPr>
              <w:widowControl/>
              <w:adjustRightInd/>
              <w:spacing w:before="0" w:after="0"/>
              <w:textAlignment w:val="auto"/>
              <w:rPr>
                <w:rFonts w:cs="Arial"/>
                <w:color w:val="000000"/>
                <w:sz w:val="18"/>
                <w:szCs w:val="18"/>
              </w:rPr>
            </w:pPr>
          </w:p>
        </w:tc>
      </w:tr>
      <w:tr w:rsidR="00AC010F" w:rsidRPr="000A7FD1" w14:paraId="2628EF59" w14:textId="77777777" w:rsidTr="00466064">
        <w:tblPrEx>
          <w:tblBorders>
            <w:top w:val="none" w:sz="0" w:space="0" w:color="auto"/>
            <w:left w:val="none" w:sz="0" w:space="0" w:color="auto"/>
            <w:bottom w:val="none" w:sz="0" w:space="0" w:color="auto"/>
            <w:right w:val="none" w:sz="0" w:space="0" w:color="auto"/>
          </w:tblBorders>
        </w:tblPrEx>
        <w:trPr>
          <w:trHeight w:val="790"/>
        </w:trPr>
        <w:tc>
          <w:tcPr>
            <w:tcW w:w="410" w:type="pct"/>
            <w:vMerge/>
            <w:tcBorders>
              <w:top w:val="single" w:sz="8" w:space="0" w:color="auto"/>
              <w:left w:val="single" w:sz="12" w:space="0" w:color="auto"/>
              <w:bottom w:val="single" w:sz="8" w:space="0" w:color="auto"/>
              <w:right w:val="single" w:sz="4" w:space="0" w:color="auto"/>
            </w:tcBorders>
            <w:vAlign w:val="center"/>
            <w:hideMark/>
          </w:tcPr>
          <w:p w14:paraId="47F1999D"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tcBorders>
              <w:top w:val="single" w:sz="8" w:space="0" w:color="auto"/>
              <w:left w:val="single" w:sz="4" w:space="0" w:color="auto"/>
              <w:bottom w:val="single" w:sz="8" w:space="0" w:color="auto"/>
              <w:right w:val="nil"/>
            </w:tcBorders>
            <w:vAlign w:val="center"/>
            <w:hideMark/>
          </w:tcPr>
          <w:p w14:paraId="1A9EEF48" w14:textId="77777777" w:rsidR="00AC4220" w:rsidRPr="000A7FD1" w:rsidRDefault="00AC4220" w:rsidP="00AC4220">
            <w:pPr>
              <w:widowControl/>
              <w:adjustRightInd/>
              <w:spacing w:before="0" w:after="0"/>
              <w:textAlignment w:val="auto"/>
              <w:rPr>
                <w:rFonts w:cs="Arial"/>
                <w:color w:val="000000"/>
                <w:sz w:val="18"/>
                <w:szCs w:val="18"/>
              </w:rPr>
            </w:pPr>
          </w:p>
        </w:tc>
        <w:tc>
          <w:tcPr>
            <w:tcW w:w="349" w:type="pct"/>
            <w:gridSpan w:val="2"/>
            <w:vMerge/>
            <w:tcBorders>
              <w:top w:val="single" w:sz="4" w:space="0" w:color="auto"/>
              <w:left w:val="single" w:sz="8" w:space="0" w:color="auto"/>
              <w:bottom w:val="single" w:sz="8" w:space="0" w:color="auto"/>
              <w:right w:val="single" w:sz="4" w:space="0" w:color="auto"/>
            </w:tcBorders>
            <w:vAlign w:val="center"/>
            <w:hideMark/>
          </w:tcPr>
          <w:p w14:paraId="5E4E6F6D" w14:textId="77777777" w:rsidR="00AC4220" w:rsidRPr="000A7FD1" w:rsidRDefault="00AC4220" w:rsidP="00AC4220">
            <w:pPr>
              <w:widowControl/>
              <w:adjustRightInd/>
              <w:spacing w:before="0" w:after="0"/>
              <w:textAlignment w:val="auto"/>
              <w:rPr>
                <w:rFonts w:cs="Arial"/>
                <w:color w:val="000000"/>
                <w:sz w:val="18"/>
                <w:szCs w:val="18"/>
              </w:rPr>
            </w:pPr>
          </w:p>
        </w:tc>
        <w:tc>
          <w:tcPr>
            <w:tcW w:w="379" w:type="pct"/>
            <w:vMerge/>
            <w:tcBorders>
              <w:top w:val="single" w:sz="4" w:space="0" w:color="auto"/>
              <w:left w:val="single" w:sz="4" w:space="0" w:color="auto"/>
              <w:bottom w:val="single" w:sz="8" w:space="0" w:color="auto"/>
              <w:right w:val="single" w:sz="4" w:space="0" w:color="auto"/>
            </w:tcBorders>
            <w:vAlign w:val="center"/>
            <w:hideMark/>
          </w:tcPr>
          <w:p w14:paraId="02159360" w14:textId="77777777" w:rsidR="00AC4220" w:rsidRPr="000A7FD1" w:rsidRDefault="00AC4220" w:rsidP="00AC4220">
            <w:pPr>
              <w:widowControl/>
              <w:adjustRightInd/>
              <w:spacing w:before="0" w:after="0"/>
              <w:textAlignment w:val="auto"/>
              <w:rPr>
                <w:rFonts w:cs="Arial"/>
                <w:color w:val="000000"/>
                <w:sz w:val="18"/>
                <w:szCs w:val="18"/>
              </w:rPr>
            </w:pPr>
          </w:p>
        </w:tc>
        <w:tc>
          <w:tcPr>
            <w:tcW w:w="291" w:type="pct"/>
            <w:gridSpan w:val="3"/>
            <w:vMerge/>
            <w:tcBorders>
              <w:top w:val="single" w:sz="4" w:space="0" w:color="auto"/>
              <w:left w:val="single" w:sz="4" w:space="0" w:color="auto"/>
              <w:bottom w:val="single" w:sz="8" w:space="0" w:color="auto"/>
              <w:right w:val="single" w:sz="8" w:space="0" w:color="auto"/>
            </w:tcBorders>
            <w:vAlign w:val="center"/>
            <w:hideMark/>
          </w:tcPr>
          <w:p w14:paraId="10C37723" w14:textId="77777777" w:rsidR="00AC4220" w:rsidRPr="000A7FD1" w:rsidRDefault="00AC4220" w:rsidP="00AC4220">
            <w:pPr>
              <w:widowControl/>
              <w:adjustRightInd/>
              <w:spacing w:before="0" w:after="0"/>
              <w:textAlignment w:val="auto"/>
              <w:rPr>
                <w:rFonts w:cs="Arial"/>
                <w:color w:val="000000"/>
                <w:sz w:val="18"/>
                <w:szCs w:val="18"/>
              </w:rPr>
            </w:pPr>
          </w:p>
        </w:tc>
        <w:tc>
          <w:tcPr>
            <w:tcW w:w="72" w:type="pct"/>
            <w:tcBorders>
              <w:top w:val="nil"/>
              <w:left w:val="nil"/>
              <w:bottom w:val="single" w:sz="4" w:space="0" w:color="auto"/>
              <w:right w:val="single" w:sz="8" w:space="0" w:color="auto"/>
            </w:tcBorders>
            <w:shd w:val="clear" w:color="000000" w:fill="000000"/>
            <w:hideMark/>
          </w:tcPr>
          <w:p w14:paraId="35BE221B"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c>
          <w:tcPr>
            <w:tcW w:w="726" w:type="pct"/>
            <w:gridSpan w:val="4"/>
            <w:tcBorders>
              <w:top w:val="single" w:sz="8" w:space="0" w:color="auto"/>
              <w:left w:val="nil"/>
              <w:bottom w:val="single" w:sz="4" w:space="0" w:color="auto"/>
              <w:right w:val="single" w:sz="4" w:space="0" w:color="auto"/>
            </w:tcBorders>
            <w:shd w:val="clear" w:color="000000" w:fill="FFFFFF"/>
            <w:hideMark/>
          </w:tcPr>
          <w:p w14:paraId="5A2F2C9D"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1d. Transactions and events are recorded in the proper accounts.</w:t>
            </w:r>
          </w:p>
        </w:tc>
        <w:tc>
          <w:tcPr>
            <w:tcW w:w="243" w:type="pct"/>
            <w:tcBorders>
              <w:top w:val="nil"/>
              <w:left w:val="nil"/>
              <w:bottom w:val="nil"/>
              <w:right w:val="nil"/>
            </w:tcBorders>
            <w:shd w:val="clear" w:color="000000" w:fill="FFFFFF"/>
            <w:vAlign w:val="center"/>
            <w:hideMark/>
          </w:tcPr>
          <w:p w14:paraId="5ECF75D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nil"/>
              <w:left w:val="single" w:sz="4" w:space="0" w:color="auto"/>
              <w:bottom w:val="nil"/>
              <w:right w:val="single" w:sz="8" w:space="0" w:color="auto"/>
            </w:tcBorders>
            <w:shd w:val="clear" w:color="000000" w:fill="FFFFFF"/>
            <w:noWrap/>
            <w:vAlign w:val="center"/>
            <w:hideMark/>
          </w:tcPr>
          <w:p w14:paraId="57E803FB"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nil"/>
              <w:left w:val="nil"/>
              <w:bottom w:val="nil"/>
              <w:right w:val="single" w:sz="4" w:space="0" w:color="auto"/>
            </w:tcBorders>
            <w:shd w:val="clear" w:color="000000" w:fill="FFFFFF"/>
            <w:noWrap/>
            <w:vAlign w:val="center"/>
            <w:hideMark/>
          </w:tcPr>
          <w:p w14:paraId="7AED9656"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nil"/>
              <w:left w:val="nil"/>
              <w:bottom w:val="nil"/>
              <w:right w:val="single" w:sz="8" w:space="0" w:color="auto"/>
            </w:tcBorders>
            <w:shd w:val="clear" w:color="000000" w:fill="FFFFFF"/>
            <w:noWrap/>
            <w:vAlign w:val="center"/>
            <w:hideMark/>
          </w:tcPr>
          <w:p w14:paraId="07AD5F80"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nil"/>
              <w:left w:val="nil"/>
              <w:bottom w:val="nil"/>
              <w:right w:val="nil"/>
            </w:tcBorders>
            <w:shd w:val="clear" w:color="000000" w:fill="FFFFFF"/>
            <w:noWrap/>
            <w:vAlign w:val="center"/>
            <w:hideMark/>
          </w:tcPr>
          <w:p w14:paraId="2135678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nil"/>
              <w:left w:val="single" w:sz="4" w:space="0" w:color="auto"/>
              <w:bottom w:val="nil"/>
              <w:right w:val="nil"/>
            </w:tcBorders>
            <w:shd w:val="clear" w:color="000000" w:fill="FFFFFF"/>
            <w:noWrap/>
            <w:vAlign w:val="center"/>
            <w:hideMark/>
          </w:tcPr>
          <w:p w14:paraId="18D15819"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nil"/>
              <w:left w:val="single" w:sz="4" w:space="0" w:color="auto"/>
              <w:bottom w:val="single" w:sz="4" w:space="0" w:color="auto"/>
              <w:right w:val="single" w:sz="4" w:space="0" w:color="auto"/>
            </w:tcBorders>
            <w:shd w:val="clear" w:color="000000" w:fill="FFFFFF"/>
            <w:vAlign w:val="center"/>
            <w:hideMark/>
          </w:tcPr>
          <w:p w14:paraId="322D7772"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vMerge/>
            <w:tcBorders>
              <w:top w:val="single" w:sz="4" w:space="0" w:color="auto"/>
              <w:left w:val="single" w:sz="4" w:space="0" w:color="auto"/>
              <w:bottom w:val="single" w:sz="4" w:space="0" w:color="000000"/>
              <w:right w:val="single" w:sz="12" w:space="0" w:color="auto"/>
            </w:tcBorders>
            <w:vAlign w:val="center"/>
            <w:hideMark/>
          </w:tcPr>
          <w:p w14:paraId="154C2B61" w14:textId="77777777" w:rsidR="00AC4220" w:rsidRPr="000A7FD1" w:rsidRDefault="00AC4220" w:rsidP="00AC4220">
            <w:pPr>
              <w:widowControl/>
              <w:adjustRightInd/>
              <w:spacing w:before="0" w:after="0"/>
              <w:textAlignment w:val="auto"/>
              <w:rPr>
                <w:rFonts w:cs="Arial"/>
                <w:color w:val="000000"/>
                <w:sz w:val="18"/>
                <w:szCs w:val="18"/>
              </w:rPr>
            </w:pPr>
          </w:p>
        </w:tc>
      </w:tr>
      <w:tr w:rsidR="00AC010F" w:rsidRPr="000A7FD1" w14:paraId="700ECB9F" w14:textId="77777777" w:rsidTr="00466064">
        <w:tblPrEx>
          <w:tblBorders>
            <w:top w:val="none" w:sz="0" w:space="0" w:color="auto"/>
            <w:left w:val="none" w:sz="0" w:space="0" w:color="auto"/>
            <w:bottom w:val="none" w:sz="0" w:space="0" w:color="auto"/>
            <w:right w:val="none" w:sz="0" w:space="0" w:color="auto"/>
          </w:tblBorders>
        </w:tblPrEx>
        <w:trPr>
          <w:trHeight w:val="619"/>
        </w:trPr>
        <w:tc>
          <w:tcPr>
            <w:tcW w:w="410" w:type="pct"/>
            <w:vMerge/>
            <w:tcBorders>
              <w:top w:val="single" w:sz="8" w:space="0" w:color="auto"/>
              <w:left w:val="single" w:sz="12" w:space="0" w:color="auto"/>
              <w:bottom w:val="single" w:sz="8" w:space="0" w:color="auto"/>
              <w:right w:val="single" w:sz="4" w:space="0" w:color="auto"/>
            </w:tcBorders>
            <w:vAlign w:val="center"/>
            <w:hideMark/>
          </w:tcPr>
          <w:p w14:paraId="0B72EB46"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val="restart"/>
            <w:tcBorders>
              <w:top w:val="single" w:sz="8" w:space="0" w:color="auto"/>
              <w:left w:val="single" w:sz="4" w:space="0" w:color="auto"/>
              <w:bottom w:val="single" w:sz="4" w:space="0" w:color="auto"/>
              <w:right w:val="nil"/>
            </w:tcBorders>
            <w:shd w:val="clear" w:color="auto" w:fill="auto"/>
            <w:hideMark/>
          </w:tcPr>
          <w:p w14:paraId="52B889E9"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u w:val="single"/>
              </w:rPr>
              <w:t>Cutoff:</w:t>
            </w:r>
            <w:r w:rsidRPr="000A7FD1">
              <w:rPr>
                <w:rFonts w:cs="Arial"/>
                <w:color w:val="000000"/>
                <w:sz w:val="18"/>
                <w:szCs w:val="18"/>
              </w:rPr>
              <w:br/>
              <w:t>2. Transactions and events are recorded in the current period but occurred in a different period.</w:t>
            </w:r>
          </w:p>
        </w:tc>
        <w:tc>
          <w:tcPr>
            <w:tcW w:w="349" w:type="pct"/>
            <w:gridSpan w:val="2"/>
            <w:tcBorders>
              <w:top w:val="single" w:sz="8" w:space="0" w:color="auto"/>
              <w:left w:val="single" w:sz="8" w:space="0" w:color="auto"/>
              <w:bottom w:val="single" w:sz="4" w:space="0" w:color="auto"/>
              <w:right w:val="nil"/>
            </w:tcBorders>
            <w:shd w:val="clear" w:color="000000" w:fill="FFFFFF"/>
            <w:noWrap/>
            <w:hideMark/>
          </w:tcPr>
          <w:p w14:paraId="0C8F934D"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79" w:type="pct"/>
            <w:tcBorders>
              <w:top w:val="single" w:sz="8" w:space="0" w:color="auto"/>
              <w:left w:val="single" w:sz="4" w:space="0" w:color="auto"/>
              <w:bottom w:val="single" w:sz="4" w:space="0" w:color="auto"/>
              <w:right w:val="single" w:sz="4" w:space="0" w:color="auto"/>
            </w:tcBorders>
            <w:shd w:val="clear" w:color="auto" w:fill="auto"/>
            <w:hideMark/>
          </w:tcPr>
          <w:p w14:paraId="7B12BAC6"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1" w:type="pct"/>
            <w:gridSpan w:val="3"/>
            <w:tcBorders>
              <w:top w:val="single" w:sz="8" w:space="0" w:color="auto"/>
              <w:left w:val="nil"/>
              <w:bottom w:val="single" w:sz="4" w:space="0" w:color="auto"/>
              <w:right w:val="single" w:sz="8" w:space="0" w:color="auto"/>
            </w:tcBorders>
            <w:shd w:val="clear" w:color="auto" w:fill="auto"/>
            <w:hideMark/>
          </w:tcPr>
          <w:p w14:paraId="18943AEA"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 w:type="pct"/>
            <w:tcBorders>
              <w:top w:val="single" w:sz="4" w:space="0" w:color="auto"/>
              <w:left w:val="nil"/>
              <w:right w:val="single" w:sz="8" w:space="0" w:color="auto"/>
            </w:tcBorders>
            <w:shd w:val="clear" w:color="000000" w:fill="000000"/>
            <w:hideMark/>
          </w:tcPr>
          <w:p w14:paraId="09A4D59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6" w:type="pct"/>
            <w:gridSpan w:val="4"/>
            <w:vMerge w:val="restart"/>
            <w:tcBorders>
              <w:top w:val="nil"/>
              <w:left w:val="nil"/>
              <w:bottom w:val="single" w:sz="4" w:space="0" w:color="auto"/>
              <w:right w:val="single" w:sz="4" w:space="0" w:color="auto"/>
            </w:tcBorders>
            <w:shd w:val="clear" w:color="000000" w:fill="FFFFFF"/>
            <w:hideMark/>
          </w:tcPr>
          <w:p w14:paraId="13A2A646"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2. Transactions and events recorded in the current period actually occurred in the current period.</w:t>
            </w:r>
          </w:p>
        </w:tc>
        <w:tc>
          <w:tcPr>
            <w:tcW w:w="243" w:type="pct"/>
            <w:tcBorders>
              <w:top w:val="single" w:sz="4" w:space="0" w:color="auto"/>
              <w:left w:val="nil"/>
              <w:bottom w:val="nil"/>
              <w:right w:val="nil"/>
            </w:tcBorders>
            <w:shd w:val="clear" w:color="000000" w:fill="FFFFFF"/>
            <w:vAlign w:val="center"/>
            <w:hideMark/>
          </w:tcPr>
          <w:p w14:paraId="61D1898B"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single" w:sz="4" w:space="0" w:color="auto"/>
              <w:left w:val="single" w:sz="4" w:space="0" w:color="auto"/>
              <w:bottom w:val="nil"/>
              <w:right w:val="single" w:sz="8" w:space="0" w:color="auto"/>
            </w:tcBorders>
            <w:shd w:val="clear" w:color="000000" w:fill="FFFFFF"/>
            <w:noWrap/>
            <w:vAlign w:val="center"/>
            <w:hideMark/>
          </w:tcPr>
          <w:p w14:paraId="3E96899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single" w:sz="4" w:space="0" w:color="auto"/>
              <w:left w:val="nil"/>
              <w:bottom w:val="nil"/>
              <w:right w:val="single" w:sz="4" w:space="0" w:color="auto"/>
            </w:tcBorders>
            <w:shd w:val="clear" w:color="000000" w:fill="FFFFFF"/>
            <w:noWrap/>
            <w:vAlign w:val="center"/>
            <w:hideMark/>
          </w:tcPr>
          <w:p w14:paraId="3029358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single" w:sz="4" w:space="0" w:color="auto"/>
              <w:left w:val="nil"/>
              <w:bottom w:val="nil"/>
              <w:right w:val="single" w:sz="8" w:space="0" w:color="auto"/>
            </w:tcBorders>
            <w:shd w:val="clear" w:color="000000" w:fill="FFFFFF"/>
            <w:noWrap/>
            <w:vAlign w:val="center"/>
            <w:hideMark/>
          </w:tcPr>
          <w:p w14:paraId="37F672ED"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single" w:sz="4" w:space="0" w:color="auto"/>
              <w:left w:val="nil"/>
              <w:bottom w:val="nil"/>
              <w:right w:val="nil"/>
            </w:tcBorders>
            <w:shd w:val="clear" w:color="000000" w:fill="FFFFFF"/>
            <w:noWrap/>
            <w:vAlign w:val="center"/>
            <w:hideMark/>
          </w:tcPr>
          <w:p w14:paraId="04A3B88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single" w:sz="4" w:space="0" w:color="auto"/>
              <w:left w:val="single" w:sz="4" w:space="0" w:color="auto"/>
              <w:bottom w:val="nil"/>
              <w:right w:val="nil"/>
            </w:tcBorders>
            <w:shd w:val="clear" w:color="000000" w:fill="FFFFFF"/>
            <w:noWrap/>
            <w:vAlign w:val="center"/>
            <w:hideMark/>
          </w:tcPr>
          <w:p w14:paraId="17E9EE8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vMerge w:val="restart"/>
            <w:tcBorders>
              <w:top w:val="nil"/>
              <w:left w:val="single" w:sz="4" w:space="0" w:color="auto"/>
              <w:bottom w:val="single" w:sz="4" w:space="0" w:color="auto"/>
              <w:right w:val="single" w:sz="4" w:space="0" w:color="auto"/>
            </w:tcBorders>
            <w:shd w:val="clear" w:color="000000" w:fill="FFFFFF"/>
            <w:vAlign w:val="center"/>
            <w:hideMark/>
          </w:tcPr>
          <w:p w14:paraId="046F82D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vMerge w:val="restart"/>
            <w:tcBorders>
              <w:top w:val="nil"/>
              <w:left w:val="single" w:sz="4" w:space="0" w:color="auto"/>
              <w:bottom w:val="single" w:sz="4" w:space="0" w:color="000000"/>
              <w:right w:val="single" w:sz="12" w:space="0" w:color="auto"/>
            </w:tcBorders>
            <w:shd w:val="clear" w:color="000000" w:fill="FFFFFF"/>
            <w:vAlign w:val="center"/>
            <w:hideMark/>
          </w:tcPr>
          <w:p w14:paraId="44FB1985"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r>
      <w:tr w:rsidR="00AC010F" w:rsidRPr="000A7FD1" w14:paraId="083B5660" w14:textId="77777777" w:rsidTr="00FA2D9D">
        <w:tblPrEx>
          <w:tblBorders>
            <w:top w:val="none" w:sz="0" w:space="0" w:color="auto"/>
            <w:left w:val="none" w:sz="0" w:space="0" w:color="auto"/>
            <w:bottom w:val="none" w:sz="0" w:space="0" w:color="auto"/>
            <w:right w:val="none" w:sz="0" w:space="0" w:color="auto"/>
          </w:tblBorders>
        </w:tblPrEx>
        <w:trPr>
          <w:trHeight w:val="439"/>
        </w:trPr>
        <w:tc>
          <w:tcPr>
            <w:tcW w:w="410" w:type="pct"/>
            <w:vMerge/>
            <w:tcBorders>
              <w:top w:val="single" w:sz="8" w:space="0" w:color="auto"/>
              <w:left w:val="single" w:sz="12" w:space="0" w:color="auto"/>
              <w:bottom w:val="single" w:sz="8" w:space="0" w:color="auto"/>
              <w:right w:val="single" w:sz="4" w:space="0" w:color="auto"/>
            </w:tcBorders>
            <w:vAlign w:val="center"/>
            <w:hideMark/>
          </w:tcPr>
          <w:p w14:paraId="02A67778"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tcBorders>
              <w:top w:val="nil"/>
              <w:left w:val="single" w:sz="4" w:space="0" w:color="auto"/>
              <w:bottom w:val="single" w:sz="4" w:space="0" w:color="auto"/>
              <w:right w:val="nil"/>
            </w:tcBorders>
            <w:vAlign w:val="center"/>
            <w:hideMark/>
          </w:tcPr>
          <w:p w14:paraId="4741EEDD" w14:textId="77777777" w:rsidR="00AC4220" w:rsidRPr="000A7FD1" w:rsidRDefault="00AC4220" w:rsidP="00AC4220">
            <w:pPr>
              <w:widowControl/>
              <w:adjustRightInd/>
              <w:spacing w:before="0" w:after="0"/>
              <w:textAlignment w:val="auto"/>
              <w:rPr>
                <w:rFonts w:cs="Arial"/>
                <w:color w:val="000000"/>
                <w:sz w:val="18"/>
                <w:szCs w:val="18"/>
              </w:rPr>
            </w:pPr>
          </w:p>
        </w:tc>
        <w:tc>
          <w:tcPr>
            <w:tcW w:w="349" w:type="pct"/>
            <w:gridSpan w:val="2"/>
            <w:tcBorders>
              <w:top w:val="nil"/>
              <w:left w:val="single" w:sz="8" w:space="0" w:color="auto"/>
              <w:bottom w:val="single" w:sz="4" w:space="0" w:color="auto"/>
              <w:right w:val="nil"/>
            </w:tcBorders>
            <w:shd w:val="clear" w:color="auto" w:fill="auto"/>
            <w:noWrap/>
            <w:hideMark/>
          </w:tcPr>
          <w:p w14:paraId="47757DF0" w14:textId="77777777" w:rsidR="00AC4220" w:rsidRPr="000A7FD1" w:rsidRDefault="00AC4220" w:rsidP="00AC4220">
            <w:pPr>
              <w:widowControl/>
              <w:adjustRightInd/>
              <w:spacing w:before="0" w:after="0"/>
              <w:textAlignment w:val="auto"/>
              <w:rPr>
                <w:rFonts w:cs="Arial"/>
                <w:sz w:val="18"/>
                <w:szCs w:val="18"/>
              </w:rPr>
            </w:pPr>
            <w:r w:rsidRPr="000A7FD1">
              <w:rPr>
                <w:rFonts w:cs="Arial"/>
                <w:sz w:val="18"/>
                <w:szCs w:val="18"/>
              </w:rPr>
              <w:t> </w:t>
            </w:r>
          </w:p>
        </w:tc>
        <w:tc>
          <w:tcPr>
            <w:tcW w:w="379" w:type="pct"/>
            <w:tcBorders>
              <w:top w:val="nil"/>
              <w:left w:val="single" w:sz="4" w:space="0" w:color="auto"/>
              <w:bottom w:val="single" w:sz="4" w:space="0" w:color="auto"/>
              <w:right w:val="single" w:sz="4" w:space="0" w:color="auto"/>
            </w:tcBorders>
            <w:shd w:val="clear" w:color="auto" w:fill="auto"/>
            <w:hideMark/>
          </w:tcPr>
          <w:p w14:paraId="016D2F04"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1" w:type="pct"/>
            <w:gridSpan w:val="3"/>
            <w:tcBorders>
              <w:top w:val="nil"/>
              <w:left w:val="nil"/>
              <w:bottom w:val="single" w:sz="4" w:space="0" w:color="auto"/>
              <w:right w:val="single" w:sz="8" w:space="0" w:color="auto"/>
            </w:tcBorders>
            <w:shd w:val="clear" w:color="auto" w:fill="auto"/>
            <w:hideMark/>
          </w:tcPr>
          <w:p w14:paraId="54B1633A"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 w:type="pct"/>
            <w:tcBorders>
              <w:left w:val="nil"/>
              <w:right w:val="single" w:sz="8" w:space="0" w:color="auto"/>
            </w:tcBorders>
            <w:shd w:val="clear" w:color="000000" w:fill="000000"/>
            <w:hideMark/>
          </w:tcPr>
          <w:p w14:paraId="34387972"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6" w:type="pct"/>
            <w:gridSpan w:val="4"/>
            <w:vMerge/>
            <w:tcBorders>
              <w:top w:val="nil"/>
              <w:left w:val="nil"/>
              <w:bottom w:val="single" w:sz="4" w:space="0" w:color="auto"/>
              <w:right w:val="single" w:sz="4" w:space="0" w:color="auto"/>
            </w:tcBorders>
            <w:vAlign w:val="center"/>
            <w:hideMark/>
          </w:tcPr>
          <w:p w14:paraId="7597D364" w14:textId="77777777" w:rsidR="00AC4220" w:rsidRPr="000A7FD1" w:rsidRDefault="00AC4220" w:rsidP="00AC4220">
            <w:pPr>
              <w:widowControl/>
              <w:adjustRightInd/>
              <w:spacing w:before="0" w:after="0"/>
              <w:textAlignment w:val="auto"/>
              <w:rPr>
                <w:rFonts w:cs="Arial"/>
                <w:color w:val="000000"/>
                <w:sz w:val="18"/>
                <w:szCs w:val="18"/>
              </w:rPr>
            </w:pPr>
          </w:p>
        </w:tc>
        <w:tc>
          <w:tcPr>
            <w:tcW w:w="243" w:type="pct"/>
            <w:tcBorders>
              <w:top w:val="nil"/>
              <w:left w:val="nil"/>
              <w:bottom w:val="nil"/>
              <w:right w:val="nil"/>
            </w:tcBorders>
            <w:shd w:val="clear" w:color="000000" w:fill="FFFFFF"/>
            <w:vAlign w:val="center"/>
            <w:hideMark/>
          </w:tcPr>
          <w:p w14:paraId="5C95A062"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nil"/>
              <w:left w:val="single" w:sz="4" w:space="0" w:color="auto"/>
              <w:bottom w:val="nil"/>
              <w:right w:val="single" w:sz="8" w:space="0" w:color="auto"/>
            </w:tcBorders>
            <w:shd w:val="clear" w:color="000000" w:fill="FFFFFF"/>
            <w:noWrap/>
            <w:vAlign w:val="center"/>
            <w:hideMark/>
          </w:tcPr>
          <w:p w14:paraId="7336AF9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nil"/>
              <w:left w:val="nil"/>
              <w:bottom w:val="nil"/>
              <w:right w:val="single" w:sz="4" w:space="0" w:color="auto"/>
            </w:tcBorders>
            <w:shd w:val="clear" w:color="000000" w:fill="FFFFFF"/>
            <w:noWrap/>
            <w:vAlign w:val="center"/>
            <w:hideMark/>
          </w:tcPr>
          <w:p w14:paraId="13FADB1F"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nil"/>
              <w:left w:val="nil"/>
              <w:bottom w:val="nil"/>
              <w:right w:val="single" w:sz="8" w:space="0" w:color="auto"/>
            </w:tcBorders>
            <w:shd w:val="clear" w:color="000000" w:fill="FFFFFF"/>
            <w:noWrap/>
            <w:vAlign w:val="center"/>
            <w:hideMark/>
          </w:tcPr>
          <w:p w14:paraId="19B4EEA2"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nil"/>
              <w:left w:val="nil"/>
              <w:bottom w:val="nil"/>
              <w:right w:val="nil"/>
            </w:tcBorders>
            <w:shd w:val="clear" w:color="000000" w:fill="FFFFFF"/>
            <w:noWrap/>
            <w:vAlign w:val="center"/>
            <w:hideMark/>
          </w:tcPr>
          <w:p w14:paraId="4D33836F"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nil"/>
              <w:left w:val="single" w:sz="4" w:space="0" w:color="auto"/>
              <w:bottom w:val="nil"/>
              <w:right w:val="nil"/>
            </w:tcBorders>
            <w:shd w:val="clear" w:color="000000" w:fill="FFFFFF"/>
            <w:noWrap/>
            <w:vAlign w:val="center"/>
            <w:hideMark/>
          </w:tcPr>
          <w:p w14:paraId="4C46173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vMerge/>
            <w:tcBorders>
              <w:top w:val="nil"/>
              <w:left w:val="single" w:sz="4" w:space="0" w:color="auto"/>
              <w:bottom w:val="single" w:sz="4" w:space="0" w:color="auto"/>
              <w:right w:val="single" w:sz="4" w:space="0" w:color="auto"/>
            </w:tcBorders>
            <w:vAlign w:val="center"/>
            <w:hideMark/>
          </w:tcPr>
          <w:p w14:paraId="37F53CF2" w14:textId="77777777" w:rsidR="00AC4220" w:rsidRPr="000A7FD1" w:rsidRDefault="00AC4220" w:rsidP="00AC4220">
            <w:pPr>
              <w:widowControl/>
              <w:adjustRightInd/>
              <w:spacing w:before="0" w:after="0"/>
              <w:textAlignment w:val="auto"/>
              <w:rPr>
                <w:rFonts w:cs="Arial"/>
                <w:color w:val="000000"/>
                <w:sz w:val="18"/>
                <w:szCs w:val="18"/>
              </w:rPr>
            </w:pPr>
          </w:p>
        </w:tc>
        <w:tc>
          <w:tcPr>
            <w:tcW w:w="344" w:type="pct"/>
            <w:gridSpan w:val="3"/>
            <w:vMerge/>
            <w:tcBorders>
              <w:top w:val="nil"/>
              <w:left w:val="single" w:sz="4" w:space="0" w:color="auto"/>
              <w:bottom w:val="single" w:sz="4" w:space="0" w:color="000000"/>
              <w:right w:val="single" w:sz="12" w:space="0" w:color="auto"/>
            </w:tcBorders>
            <w:vAlign w:val="center"/>
            <w:hideMark/>
          </w:tcPr>
          <w:p w14:paraId="562FF0F2" w14:textId="77777777" w:rsidR="00AC4220" w:rsidRPr="000A7FD1" w:rsidRDefault="00AC4220" w:rsidP="00AC4220">
            <w:pPr>
              <w:widowControl/>
              <w:adjustRightInd/>
              <w:spacing w:before="0" w:after="0"/>
              <w:textAlignment w:val="auto"/>
              <w:rPr>
                <w:rFonts w:cs="Arial"/>
                <w:color w:val="000000"/>
                <w:sz w:val="18"/>
                <w:szCs w:val="18"/>
              </w:rPr>
            </w:pPr>
          </w:p>
        </w:tc>
      </w:tr>
      <w:tr w:rsidR="00AC010F" w:rsidRPr="000A7FD1" w14:paraId="536FD421" w14:textId="77777777" w:rsidTr="00FA2D9D">
        <w:tblPrEx>
          <w:tblBorders>
            <w:top w:val="none" w:sz="0" w:space="0" w:color="auto"/>
            <w:left w:val="none" w:sz="0" w:space="0" w:color="auto"/>
            <w:bottom w:val="none" w:sz="0" w:space="0" w:color="auto"/>
            <w:right w:val="none" w:sz="0" w:space="0" w:color="auto"/>
          </w:tblBorders>
        </w:tblPrEx>
        <w:trPr>
          <w:trHeight w:val="660"/>
        </w:trPr>
        <w:tc>
          <w:tcPr>
            <w:tcW w:w="410" w:type="pct"/>
            <w:vMerge/>
            <w:tcBorders>
              <w:top w:val="single" w:sz="8" w:space="0" w:color="auto"/>
              <w:left w:val="single" w:sz="12" w:space="0" w:color="auto"/>
              <w:bottom w:val="single" w:sz="8" w:space="0" w:color="auto"/>
              <w:right w:val="single" w:sz="4" w:space="0" w:color="auto"/>
            </w:tcBorders>
            <w:vAlign w:val="center"/>
            <w:hideMark/>
          </w:tcPr>
          <w:p w14:paraId="676D47E9"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val="restart"/>
            <w:tcBorders>
              <w:top w:val="nil"/>
              <w:left w:val="single" w:sz="4" w:space="0" w:color="auto"/>
              <w:bottom w:val="single" w:sz="4" w:space="0" w:color="000000"/>
              <w:right w:val="nil"/>
            </w:tcBorders>
            <w:shd w:val="clear" w:color="auto" w:fill="auto"/>
            <w:hideMark/>
          </w:tcPr>
          <w:p w14:paraId="666CA7D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u w:val="single"/>
              </w:rPr>
              <w:t>Summarization</w:t>
            </w:r>
            <w:r w:rsidRPr="000A7FD1">
              <w:rPr>
                <w:rFonts w:cs="Arial"/>
                <w:color w:val="000000"/>
                <w:sz w:val="18"/>
                <w:szCs w:val="18"/>
              </w:rPr>
              <w:t>:</w:t>
            </w:r>
            <w:r w:rsidRPr="000A7FD1">
              <w:rPr>
                <w:rFonts w:cs="Arial"/>
                <w:color w:val="000000"/>
                <w:sz w:val="18"/>
                <w:szCs w:val="18"/>
              </w:rPr>
              <w:br/>
              <w:t>3. Transactions are summarized improperly, resulting in an overstated total.</w:t>
            </w:r>
          </w:p>
        </w:tc>
        <w:tc>
          <w:tcPr>
            <w:tcW w:w="349" w:type="pct"/>
            <w:gridSpan w:val="2"/>
            <w:tcBorders>
              <w:top w:val="nil"/>
              <w:left w:val="single" w:sz="8" w:space="0" w:color="auto"/>
              <w:bottom w:val="single" w:sz="4" w:space="0" w:color="auto"/>
              <w:right w:val="nil"/>
            </w:tcBorders>
            <w:shd w:val="clear" w:color="auto" w:fill="auto"/>
            <w:noWrap/>
            <w:hideMark/>
          </w:tcPr>
          <w:p w14:paraId="716F8FAF" w14:textId="77777777" w:rsidR="00AC4220" w:rsidRPr="000A7FD1" w:rsidRDefault="00AC4220" w:rsidP="00AC4220">
            <w:pPr>
              <w:widowControl/>
              <w:adjustRightInd/>
              <w:spacing w:before="0" w:after="0"/>
              <w:textAlignment w:val="auto"/>
              <w:rPr>
                <w:rFonts w:cs="Arial"/>
                <w:sz w:val="18"/>
                <w:szCs w:val="18"/>
              </w:rPr>
            </w:pPr>
            <w:r w:rsidRPr="000A7FD1">
              <w:rPr>
                <w:rFonts w:cs="Arial"/>
                <w:sz w:val="18"/>
                <w:szCs w:val="18"/>
              </w:rPr>
              <w:t> </w:t>
            </w:r>
          </w:p>
        </w:tc>
        <w:tc>
          <w:tcPr>
            <w:tcW w:w="379" w:type="pct"/>
            <w:tcBorders>
              <w:top w:val="nil"/>
              <w:left w:val="single" w:sz="4" w:space="0" w:color="auto"/>
              <w:bottom w:val="single" w:sz="4" w:space="0" w:color="auto"/>
              <w:right w:val="single" w:sz="4" w:space="0" w:color="auto"/>
            </w:tcBorders>
            <w:shd w:val="clear" w:color="auto" w:fill="auto"/>
            <w:hideMark/>
          </w:tcPr>
          <w:p w14:paraId="5FE82FB2"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1" w:type="pct"/>
            <w:gridSpan w:val="3"/>
            <w:tcBorders>
              <w:top w:val="nil"/>
              <w:left w:val="nil"/>
              <w:bottom w:val="single" w:sz="4" w:space="0" w:color="auto"/>
              <w:right w:val="single" w:sz="8" w:space="0" w:color="auto"/>
            </w:tcBorders>
            <w:shd w:val="clear" w:color="auto" w:fill="auto"/>
            <w:hideMark/>
          </w:tcPr>
          <w:p w14:paraId="697ABB12"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 w:type="pct"/>
            <w:tcBorders>
              <w:left w:val="nil"/>
              <w:right w:val="single" w:sz="8" w:space="0" w:color="auto"/>
            </w:tcBorders>
            <w:shd w:val="clear" w:color="000000" w:fill="000000"/>
            <w:hideMark/>
          </w:tcPr>
          <w:p w14:paraId="24678199"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6" w:type="pct"/>
            <w:gridSpan w:val="4"/>
            <w:vMerge w:val="restart"/>
            <w:tcBorders>
              <w:top w:val="nil"/>
              <w:left w:val="nil"/>
              <w:bottom w:val="single" w:sz="4" w:space="0" w:color="000000"/>
              <w:right w:val="single" w:sz="4" w:space="0" w:color="auto"/>
            </w:tcBorders>
            <w:shd w:val="clear" w:color="000000" w:fill="FFFFFF"/>
            <w:hideMark/>
          </w:tcPr>
          <w:p w14:paraId="31E39F2D"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3. The summarization of recorded transactions is not overstated.</w:t>
            </w:r>
          </w:p>
        </w:tc>
        <w:tc>
          <w:tcPr>
            <w:tcW w:w="243" w:type="pct"/>
            <w:tcBorders>
              <w:top w:val="single" w:sz="4" w:space="0" w:color="auto"/>
              <w:left w:val="nil"/>
              <w:bottom w:val="nil"/>
              <w:right w:val="nil"/>
            </w:tcBorders>
            <w:shd w:val="clear" w:color="000000" w:fill="FFFFFF"/>
            <w:vAlign w:val="center"/>
            <w:hideMark/>
          </w:tcPr>
          <w:p w14:paraId="045E5DF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single" w:sz="4" w:space="0" w:color="auto"/>
              <w:left w:val="single" w:sz="4" w:space="0" w:color="auto"/>
              <w:bottom w:val="nil"/>
              <w:right w:val="single" w:sz="8" w:space="0" w:color="auto"/>
            </w:tcBorders>
            <w:shd w:val="clear" w:color="000000" w:fill="FFFFFF"/>
            <w:noWrap/>
            <w:vAlign w:val="center"/>
            <w:hideMark/>
          </w:tcPr>
          <w:p w14:paraId="33476D5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single" w:sz="4" w:space="0" w:color="auto"/>
              <w:left w:val="nil"/>
              <w:bottom w:val="nil"/>
              <w:right w:val="single" w:sz="4" w:space="0" w:color="auto"/>
            </w:tcBorders>
            <w:shd w:val="clear" w:color="000000" w:fill="FFFFFF"/>
            <w:noWrap/>
            <w:vAlign w:val="center"/>
            <w:hideMark/>
          </w:tcPr>
          <w:p w14:paraId="5639E384"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single" w:sz="4" w:space="0" w:color="auto"/>
              <w:left w:val="nil"/>
              <w:bottom w:val="nil"/>
              <w:right w:val="single" w:sz="8" w:space="0" w:color="auto"/>
            </w:tcBorders>
            <w:shd w:val="clear" w:color="000000" w:fill="FFFFFF"/>
            <w:noWrap/>
            <w:vAlign w:val="center"/>
            <w:hideMark/>
          </w:tcPr>
          <w:p w14:paraId="05DA1B0B"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single" w:sz="4" w:space="0" w:color="auto"/>
              <w:left w:val="nil"/>
              <w:bottom w:val="nil"/>
              <w:right w:val="nil"/>
            </w:tcBorders>
            <w:shd w:val="clear" w:color="000000" w:fill="FFFFFF"/>
            <w:noWrap/>
            <w:vAlign w:val="center"/>
            <w:hideMark/>
          </w:tcPr>
          <w:p w14:paraId="1B4C318A"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single" w:sz="4" w:space="0" w:color="auto"/>
              <w:left w:val="single" w:sz="4" w:space="0" w:color="auto"/>
              <w:bottom w:val="nil"/>
              <w:right w:val="nil"/>
            </w:tcBorders>
            <w:shd w:val="clear" w:color="000000" w:fill="FFFFFF"/>
            <w:noWrap/>
            <w:vAlign w:val="center"/>
            <w:hideMark/>
          </w:tcPr>
          <w:p w14:paraId="55154BFB"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single" w:sz="4" w:space="0" w:color="auto"/>
              <w:left w:val="single" w:sz="4" w:space="0" w:color="auto"/>
              <w:bottom w:val="nil"/>
              <w:right w:val="single" w:sz="4" w:space="0" w:color="auto"/>
            </w:tcBorders>
            <w:shd w:val="clear" w:color="000000" w:fill="FFFFFF"/>
            <w:vAlign w:val="center"/>
            <w:hideMark/>
          </w:tcPr>
          <w:p w14:paraId="2D10B5A6"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vMerge w:val="restart"/>
            <w:tcBorders>
              <w:top w:val="nil"/>
              <w:left w:val="single" w:sz="4" w:space="0" w:color="auto"/>
              <w:bottom w:val="nil"/>
              <w:right w:val="single" w:sz="12" w:space="0" w:color="auto"/>
            </w:tcBorders>
            <w:shd w:val="clear" w:color="000000" w:fill="FFFFFF"/>
            <w:vAlign w:val="center"/>
            <w:hideMark/>
          </w:tcPr>
          <w:p w14:paraId="7515767F"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r>
      <w:tr w:rsidR="00AC010F" w:rsidRPr="000A7FD1" w14:paraId="6A941A30" w14:textId="77777777" w:rsidTr="00FA2D9D">
        <w:tblPrEx>
          <w:tblBorders>
            <w:top w:val="none" w:sz="0" w:space="0" w:color="auto"/>
            <w:left w:val="none" w:sz="0" w:space="0" w:color="auto"/>
            <w:bottom w:val="none" w:sz="0" w:space="0" w:color="auto"/>
            <w:right w:val="none" w:sz="0" w:space="0" w:color="auto"/>
          </w:tblBorders>
        </w:tblPrEx>
        <w:trPr>
          <w:trHeight w:val="564"/>
        </w:trPr>
        <w:tc>
          <w:tcPr>
            <w:tcW w:w="410" w:type="pct"/>
            <w:vMerge/>
            <w:tcBorders>
              <w:top w:val="single" w:sz="8" w:space="0" w:color="auto"/>
              <w:left w:val="single" w:sz="12" w:space="0" w:color="auto"/>
              <w:bottom w:val="single" w:sz="8" w:space="0" w:color="auto"/>
              <w:right w:val="single" w:sz="4" w:space="0" w:color="auto"/>
            </w:tcBorders>
            <w:vAlign w:val="center"/>
            <w:hideMark/>
          </w:tcPr>
          <w:p w14:paraId="0429E8B5"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tcBorders>
              <w:top w:val="nil"/>
              <w:left w:val="single" w:sz="4" w:space="0" w:color="auto"/>
              <w:bottom w:val="single" w:sz="4" w:space="0" w:color="000000"/>
              <w:right w:val="nil"/>
            </w:tcBorders>
            <w:vAlign w:val="center"/>
            <w:hideMark/>
          </w:tcPr>
          <w:p w14:paraId="56D11EC0" w14:textId="77777777" w:rsidR="00AC4220" w:rsidRPr="000A7FD1" w:rsidRDefault="00AC4220" w:rsidP="00AC4220">
            <w:pPr>
              <w:widowControl/>
              <w:adjustRightInd/>
              <w:spacing w:before="0" w:after="0"/>
              <w:textAlignment w:val="auto"/>
              <w:rPr>
                <w:rFonts w:cs="Arial"/>
                <w:color w:val="000000"/>
                <w:sz w:val="18"/>
                <w:szCs w:val="18"/>
              </w:rPr>
            </w:pPr>
          </w:p>
        </w:tc>
        <w:tc>
          <w:tcPr>
            <w:tcW w:w="349" w:type="pct"/>
            <w:gridSpan w:val="2"/>
            <w:tcBorders>
              <w:top w:val="nil"/>
              <w:left w:val="single" w:sz="8" w:space="0" w:color="auto"/>
              <w:bottom w:val="single" w:sz="4" w:space="0" w:color="auto"/>
              <w:right w:val="nil"/>
            </w:tcBorders>
            <w:shd w:val="clear" w:color="000000" w:fill="FFFFFF"/>
            <w:noWrap/>
            <w:hideMark/>
          </w:tcPr>
          <w:p w14:paraId="2F95920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79" w:type="pct"/>
            <w:tcBorders>
              <w:top w:val="nil"/>
              <w:left w:val="single" w:sz="4" w:space="0" w:color="auto"/>
              <w:bottom w:val="single" w:sz="4" w:space="0" w:color="auto"/>
              <w:right w:val="single" w:sz="4" w:space="0" w:color="auto"/>
            </w:tcBorders>
            <w:shd w:val="clear" w:color="auto" w:fill="auto"/>
            <w:hideMark/>
          </w:tcPr>
          <w:p w14:paraId="180FEE10"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1" w:type="pct"/>
            <w:gridSpan w:val="3"/>
            <w:tcBorders>
              <w:top w:val="nil"/>
              <w:left w:val="nil"/>
              <w:bottom w:val="single" w:sz="4" w:space="0" w:color="auto"/>
              <w:right w:val="single" w:sz="8" w:space="0" w:color="auto"/>
            </w:tcBorders>
            <w:shd w:val="clear" w:color="auto" w:fill="auto"/>
            <w:hideMark/>
          </w:tcPr>
          <w:p w14:paraId="362C9549"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 w:type="pct"/>
            <w:tcBorders>
              <w:left w:val="nil"/>
              <w:bottom w:val="single" w:sz="4" w:space="0" w:color="auto"/>
              <w:right w:val="single" w:sz="8" w:space="0" w:color="auto"/>
            </w:tcBorders>
            <w:shd w:val="clear" w:color="000000" w:fill="000000"/>
            <w:hideMark/>
          </w:tcPr>
          <w:p w14:paraId="6767D13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6" w:type="pct"/>
            <w:gridSpan w:val="4"/>
            <w:vMerge/>
            <w:tcBorders>
              <w:top w:val="nil"/>
              <w:left w:val="nil"/>
              <w:bottom w:val="single" w:sz="4" w:space="0" w:color="000000"/>
              <w:right w:val="single" w:sz="4" w:space="0" w:color="auto"/>
            </w:tcBorders>
            <w:vAlign w:val="center"/>
            <w:hideMark/>
          </w:tcPr>
          <w:p w14:paraId="14D1C73B" w14:textId="77777777" w:rsidR="00AC4220" w:rsidRPr="000A7FD1" w:rsidRDefault="00AC4220" w:rsidP="00AC4220">
            <w:pPr>
              <w:widowControl/>
              <w:adjustRightInd/>
              <w:spacing w:before="0" w:after="0"/>
              <w:textAlignment w:val="auto"/>
              <w:rPr>
                <w:rFonts w:cs="Arial"/>
                <w:color w:val="000000"/>
                <w:sz w:val="18"/>
                <w:szCs w:val="18"/>
              </w:rPr>
            </w:pPr>
          </w:p>
        </w:tc>
        <w:tc>
          <w:tcPr>
            <w:tcW w:w="243" w:type="pct"/>
            <w:tcBorders>
              <w:top w:val="nil"/>
              <w:left w:val="nil"/>
              <w:bottom w:val="nil"/>
              <w:right w:val="nil"/>
            </w:tcBorders>
            <w:shd w:val="clear" w:color="000000" w:fill="FFFFFF"/>
            <w:vAlign w:val="center"/>
            <w:hideMark/>
          </w:tcPr>
          <w:p w14:paraId="4ED4E844"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nil"/>
              <w:left w:val="single" w:sz="4" w:space="0" w:color="auto"/>
              <w:bottom w:val="nil"/>
              <w:right w:val="single" w:sz="8" w:space="0" w:color="auto"/>
            </w:tcBorders>
            <w:shd w:val="clear" w:color="000000" w:fill="FFFFFF"/>
            <w:noWrap/>
            <w:vAlign w:val="center"/>
            <w:hideMark/>
          </w:tcPr>
          <w:p w14:paraId="58DF5DA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nil"/>
              <w:left w:val="nil"/>
              <w:bottom w:val="nil"/>
              <w:right w:val="single" w:sz="4" w:space="0" w:color="auto"/>
            </w:tcBorders>
            <w:shd w:val="clear" w:color="000000" w:fill="FFFFFF"/>
            <w:noWrap/>
            <w:vAlign w:val="center"/>
            <w:hideMark/>
          </w:tcPr>
          <w:p w14:paraId="0C17DD08"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nil"/>
              <w:left w:val="nil"/>
              <w:bottom w:val="nil"/>
              <w:right w:val="single" w:sz="8" w:space="0" w:color="auto"/>
            </w:tcBorders>
            <w:shd w:val="clear" w:color="000000" w:fill="FFFFFF"/>
            <w:noWrap/>
            <w:vAlign w:val="center"/>
            <w:hideMark/>
          </w:tcPr>
          <w:p w14:paraId="0A8732D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nil"/>
              <w:left w:val="nil"/>
              <w:bottom w:val="nil"/>
              <w:right w:val="nil"/>
            </w:tcBorders>
            <w:shd w:val="clear" w:color="000000" w:fill="FFFFFF"/>
            <w:noWrap/>
            <w:vAlign w:val="center"/>
            <w:hideMark/>
          </w:tcPr>
          <w:p w14:paraId="7FB5CE52"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nil"/>
              <w:left w:val="single" w:sz="4" w:space="0" w:color="auto"/>
              <w:bottom w:val="nil"/>
              <w:right w:val="nil"/>
            </w:tcBorders>
            <w:shd w:val="clear" w:color="000000" w:fill="FFFFFF"/>
            <w:noWrap/>
            <w:vAlign w:val="center"/>
            <w:hideMark/>
          </w:tcPr>
          <w:p w14:paraId="7CB921C9"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nil"/>
              <w:left w:val="single" w:sz="4" w:space="0" w:color="auto"/>
              <w:bottom w:val="single" w:sz="4" w:space="0" w:color="auto"/>
              <w:right w:val="single" w:sz="4" w:space="0" w:color="auto"/>
            </w:tcBorders>
            <w:shd w:val="clear" w:color="000000" w:fill="FFFFFF"/>
            <w:vAlign w:val="center"/>
            <w:hideMark/>
          </w:tcPr>
          <w:p w14:paraId="655221EA"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vMerge/>
            <w:tcBorders>
              <w:top w:val="nil"/>
              <w:left w:val="single" w:sz="4" w:space="0" w:color="auto"/>
              <w:bottom w:val="nil"/>
              <w:right w:val="single" w:sz="12" w:space="0" w:color="auto"/>
            </w:tcBorders>
            <w:vAlign w:val="center"/>
            <w:hideMark/>
          </w:tcPr>
          <w:p w14:paraId="1AEBFEA1" w14:textId="77777777" w:rsidR="00AC4220" w:rsidRPr="000A7FD1" w:rsidRDefault="00AC4220" w:rsidP="00AC4220">
            <w:pPr>
              <w:widowControl/>
              <w:adjustRightInd/>
              <w:spacing w:before="0" w:after="0"/>
              <w:textAlignment w:val="auto"/>
              <w:rPr>
                <w:rFonts w:cs="Arial"/>
                <w:color w:val="000000"/>
                <w:sz w:val="18"/>
                <w:szCs w:val="18"/>
              </w:rPr>
            </w:pPr>
          </w:p>
        </w:tc>
      </w:tr>
      <w:tr w:rsidR="00AC010F" w:rsidRPr="000A7FD1" w14:paraId="240D3DA9" w14:textId="77777777" w:rsidTr="00F15268">
        <w:tblPrEx>
          <w:tblBorders>
            <w:top w:val="none" w:sz="0" w:space="0" w:color="auto"/>
            <w:left w:val="none" w:sz="0" w:space="0" w:color="auto"/>
            <w:bottom w:val="none" w:sz="0" w:space="0" w:color="auto"/>
            <w:right w:val="none" w:sz="0" w:space="0" w:color="auto"/>
          </w:tblBorders>
        </w:tblPrEx>
        <w:trPr>
          <w:trHeight w:val="255"/>
        </w:trPr>
        <w:tc>
          <w:tcPr>
            <w:tcW w:w="410" w:type="pct"/>
            <w:vMerge/>
            <w:tcBorders>
              <w:top w:val="single" w:sz="8" w:space="0" w:color="auto"/>
              <w:left w:val="single" w:sz="12" w:space="0" w:color="auto"/>
              <w:bottom w:val="single" w:sz="8" w:space="0" w:color="auto"/>
              <w:right w:val="single" w:sz="4" w:space="0" w:color="auto"/>
            </w:tcBorders>
            <w:vAlign w:val="center"/>
            <w:hideMark/>
          </w:tcPr>
          <w:p w14:paraId="4EBD8A04" w14:textId="77777777" w:rsidR="00AC4220" w:rsidRPr="000A7FD1" w:rsidRDefault="00AC4220" w:rsidP="00AC4220">
            <w:pPr>
              <w:widowControl/>
              <w:adjustRightInd/>
              <w:spacing w:before="0" w:after="0"/>
              <w:textAlignment w:val="auto"/>
              <w:rPr>
                <w:rFonts w:cs="Arial"/>
                <w:color w:val="000000"/>
                <w:sz w:val="18"/>
                <w:szCs w:val="18"/>
              </w:rPr>
            </w:pPr>
          </w:p>
        </w:tc>
        <w:tc>
          <w:tcPr>
            <w:tcW w:w="3228" w:type="pct"/>
            <w:gridSpan w:val="17"/>
            <w:tcBorders>
              <w:top w:val="single" w:sz="4" w:space="0" w:color="auto"/>
              <w:left w:val="nil"/>
              <w:bottom w:val="single" w:sz="4" w:space="0" w:color="auto"/>
              <w:right w:val="single" w:sz="8" w:space="0" w:color="000000"/>
            </w:tcBorders>
            <w:shd w:val="clear" w:color="000000" w:fill="000000"/>
            <w:hideMark/>
          </w:tcPr>
          <w:p w14:paraId="5864887A" w14:textId="77777777" w:rsidR="00AC4220" w:rsidRPr="000A7FD1" w:rsidRDefault="00AC4220" w:rsidP="00AC4220">
            <w:pPr>
              <w:widowControl/>
              <w:adjustRightInd/>
              <w:spacing w:before="0" w:after="0"/>
              <w:textAlignment w:val="auto"/>
              <w:rPr>
                <w:rFonts w:cs="Arial"/>
                <w:b/>
                <w:bCs/>
                <w:color w:val="FFFFFF"/>
                <w:sz w:val="18"/>
                <w:szCs w:val="18"/>
              </w:rPr>
            </w:pPr>
            <w:r w:rsidRPr="000A7FD1">
              <w:rPr>
                <w:rFonts w:cs="Arial"/>
                <w:b/>
                <w:bCs/>
                <w:color w:val="FFFFFF"/>
                <w:sz w:val="18"/>
                <w:szCs w:val="18"/>
              </w:rPr>
              <w:t>Line item/account related</w:t>
            </w:r>
          </w:p>
        </w:tc>
        <w:tc>
          <w:tcPr>
            <w:tcW w:w="170" w:type="pct"/>
            <w:tcBorders>
              <w:top w:val="nil"/>
              <w:left w:val="nil"/>
              <w:bottom w:val="nil"/>
              <w:right w:val="nil"/>
            </w:tcBorders>
            <w:shd w:val="clear" w:color="000000" w:fill="000000"/>
            <w:noWrap/>
            <w:vAlign w:val="bottom"/>
            <w:hideMark/>
          </w:tcPr>
          <w:p w14:paraId="23D4A609"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nil"/>
              <w:left w:val="nil"/>
              <w:bottom w:val="nil"/>
              <w:right w:val="nil"/>
            </w:tcBorders>
            <w:shd w:val="clear" w:color="000000" w:fill="000000"/>
            <w:noWrap/>
            <w:vAlign w:val="bottom"/>
            <w:hideMark/>
          </w:tcPr>
          <w:p w14:paraId="2FF2687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nil"/>
              <w:left w:val="single" w:sz="4" w:space="0" w:color="auto"/>
              <w:bottom w:val="nil"/>
              <w:right w:val="nil"/>
            </w:tcBorders>
            <w:shd w:val="clear" w:color="000000" w:fill="000000"/>
            <w:noWrap/>
            <w:vAlign w:val="bottom"/>
            <w:hideMark/>
          </w:tcPr>
          <w:p w14:paraId="019E2B6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nil"/>
              <w:left w:val="nil"/>
              <w:bottom w:val="nil"/>
              <w:right w:val="nil"/>
            </w:tcBorders>
            <w:shd w:val="clear" w:color="000000" w:fill="000000"/>
            <w:noWrap/>
            <w:vAlign w:val="bottom"/>
            <w:hideMark/>
          </w:tcPr>
          <w:p w14:paraId="2BF381D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tcBorders>
              <w:top w:val="nil"/>
              <w:left w:val="nil"/>
              <w:bottom w:val="nil"/>
              <w:right w:val="single" w:sz="12" w:space="0" w:color="auto"/>
            </w:tcBorders>
            <w:shd w:val="clear" w:color="000000" w:fill="000000"/>
            <w:noWrap/>
            <w:vAlign w:val="bottom"/>
            <w:hideMark/>
          </w:tcPr>
          <w:p w14:paraId="37C88E70"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r>
      <w:tr w:rsidR="00AC010F" w:rsidRPr="000A7FD1" w14:paraId="5579CD15" w14:textId="77777777" w:rsidTr="00D71ED5">
        <w:tblPrEx>
          <w:tblBorders>
            <w:top w:val="none" w:sz="0" w:space="0" w:color="auto"/>
            <w:left w:val="none" w:sz="0" w:space="0" w:color="auto"/>
            <w:bottom w:val="none" w:sz="0" w:space="0" w:color="auto"/>
            <w:right w:val="none" w:sz="0" w:space="0" w:color="auto"/>
          </w:tblBorders>
        </w:tblPrEx>
        <w:trPr>
          <w:trHeight w:val="952"/>
        </w:trPr>
        <w:tc>
          <w:tcPr>
            <w:tcW w:w="410" w:type="pct"/>
            <w:vMerge/>
            <w:tcBorders>
              <w:top w:val="single" w:sz="8" w:space="0" w:color="auto"/>
              <w:left w:val="single" w:sz="12" w:space="0" w:color="auto"/>
              <w:bottom w:val="single" w:sz="8" w:space="0" w:color="auto"/>
              <w:right w:val="single" w:sz="4" w:space="0" w:color="auto"/>
            </w:tcBorders>
            <w:vAlign w:val="center"/>
            <w:hideMark/>
          </w:tcPr>
          <w:p w14:paraId="2B034BD2"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val="restart"/>
            <w:tcBorders>
              <w:top w:val="nil"/>
              <w:left w:val="single" w:sz="4" w:space="0" w:color="auto"/>
              <w:bottom w:val="single" w:sz="4" w:space="0" w:color="auto"/>
              <w:right w:val="nil"/>
            </w:tcBorders>
            <w:shd w:val="clear" w:color="auto" w:fill="auto"/>
            <w:hideMark/>
          </w:tcPr>
          <w:p w14:paraId="38807F72" w14:textId="77777777" w:rsidR="00AC4220" w:rsidRPr="000A7FD1" w:rsidRDefault="00AC4220" w:rsidP="00AC4220">
            <w:pPr>
              <w:widowControl/>
              <w:adjustRightInd/>
              <w:spacing w:before="0" w:after="240"/>
              <w:textAlignment w:val="auto"/>
              <w:rPr>
                <w:rFonts w:cs="Arial"/>
                <w:color w:val="000000"/>
                <w:sz w:val="18"/>
                <w:szCs w:val="18"/>
              </w:rPr>
            </w:pPr>
            <w:r w:rsidRPr="000A7FD1">
              <w:rPr>
                <w:rFonts w:cs="Arial"/>
                <w:color w:val="000000"/>
                <w:sz w:val="18"/>
                <w:szCs w:val="18"/>
                <w:u w:val="single"/>
              </w:rPr>
              <w:t>Existence</w:t>
            </w:r>
            <w:r w:rsidRPr="000A7FD1">
              <w:rPr>
                <w:rFonts w:cs="Arial"/>
                <w:color w:val="000000"/>
                <w:sz w:val="18"/>
                <w:szCs w:val="18"/>
              </w:rPr>
              <w:t>:</w:t>
            </w:r>
            <w:r w:rsidRPr="000A7FD1">
              <w:rPr>
                <w:rFonts w:cs="Arial"/>
                <w:color w:val="000000"/>
                <w:sz w:val="18"/>
                <w:szCs w:val="18"/>
              </w:rPr>
              <w:br/>
              <w:t>4. Recorded assets, liabilities, net position, and budgetary balances do not exist at a given date. Projected revenues or expenditures in the sustainability statements are not valid.</w:t>
            </w:r>
          </w:p>
        </w:tc>
        <w:tc>
          <w:tcPr>
            <w:tcW w:w="349" w:type="pct"/>
            <w:gridSpan w:val="2"/>
            <w:tcBorders>
              <w:top w:val="nil"/>
              <w:left w:val="single" w:sz="8" w:space="0" w:color="auto"/>
              <w:right w:val="single" w:sz="4" w:space="0" w:color="auto"/>
            </w:tcBorders>
            <w:shd w:val="clear" w:color="auto" w:fill="auto"/>
            <w:hideMark/>
          </w:tcPr>
          <w:p w14:paraId="34A60F2F"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N/A</w:t>
            </w:r>
          </w:p>
        </w:tc>
        <w:tc>
          <w:tcPr>
            <w:tcW w:w="379" w:type="pct"/>
            <w:vMerge w:val="restart"/>
            <w:tcBorders>
              <w:top w:val="nil"/>
              <w:left w:val="single" w:sz="4" w:space="0" w:color="auto"/>
              <w:bottom w:val="single" w:sz="4" w:space="0" w:color="000000"/>
              <w:right w:val="single" w:sz="4" w:space="0" w:color="auto"/>
            </w:tcBorders>
            <w:shd w:val="clear" w:color="auto" w:fill="auto"/>
            <w:hideMark/>
          </w:tcPr>
          <w:p w14:paraId="61A13E96"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c>
          <w:tcPr>
            <w:tcW w:w="291" w:type="pct"/>
            <w:gridSpan w:val="3"/>
            <w:vMerge w:val="restart"/>
            <w:tcBorders>
              <w:top w:val="nil"/>
              <w:left w:val="single" w:sz="4" w:space="0" w:color="auto"/>
              <w:bottom w:val="single" w:sz="4" w:space="0" w:color="000000"/>
              <w:right w:val="single" w:sz="8" w:space="0" w:color="auto"/>
            </w:tcBorders>
            <w:shd w:val="clear" w:color="auto" w:fill="auto"/>
            <w:hideMark/>
          </w:tcPr>
          <w:p w14:paraId="01EAE965"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c>
          <w:tcPr>
            <w:tcW w:w="72" w:type="pct"/>
            <w:tcBorders>
              <w:top w:val="nil"/>
              <w:left w:val="nil"/>
              <w:bottom w:val="nil"/>
              <w:right w:val="nil"/>
            </w:tcBorders>
            <w:shd w:val="clear" w:color="000000" w:fill="000000"/>
            <w:hideMark/>
          </w:tcPr>
          <w:p w14:paraId="2C08868F"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c>
          <w:tcPr>
            <w:tcW w:w="726" w:type="pct"/>
            <w:gridSpan w:val="4"/>
            <w:tcBorders>
              <w:top w:val="nil"/>
              <w:left w:val="single" w:sz="8" w:space="0" w:color="auto"/>
              <w:bottom w:val="single" w:sz="4" w:space="0" w:color="auto"/>
              <w:right w:val="single" w:sz="4" w:space="0" w:color="auto"/>
            </w:tcBorders>
            <w:shd w:val="clear" w:color="000000" w:fill="FFFFFF"/>
            <w:hideMark/>
          </w:tcPr>
          <w:p w14:paraId="5E1EDEA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4a. Recorded assets, liabilities, net position, and budgetary balances exist at a given date.</w:t>
            </w:r>
          </w:p>
        </w:tc>
        <w:tc>
          <w:tcPr>
            <w:tcW w:w="243" w:type="pct"/>
            <w:tcBorders>
              <w:top w:val="nil"/>
              <w:left w:val="nil"/>
              <w:bottom w:val="single" w:sz="4" w:space="0" w:color="auto"/>
              <w:right w:val="nil"/>
            </w:tcBorders>
            <w:shd w:val="clear" w:color="000000" w:fill="FFFFFF"/>
            <w:vAlign w:val="center"/>
            <w:hideMark/>
          </w:tcPr>
          <w:p w14:paraId="614FF70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nil"/>
              <w:left w:val="single" w:sz="4" w:space="0" w:color="auto"/>
              <w:bottom w:val="single" w:sz="4" w:space="0" w:color="auto"/>
              <w:right w:val="single" w:sz="8" w:space="0" w:color="auto"/>
            </w:tcBorders>
            <w:shd w:val="clear" w:color="000000" w:fill="FFFFFF"/>
            <w:noWrap/>
            <w:vAlign w:val="center"/>
            <w:hideMark/>
          </w:tcPr>
          <w:p w14:paraId="53C4528E"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nil"/>
              <w:left w:val="nil"/>
              <w:bottom w:val="single" w:sz="4" w:space="0" w:color="auto"/>
              <w:right w:val="single" w:sz="4" w:space="0" w:color="auto"/>
            </w:tcBorders>
            <w:shd w:val="clear" w:color="000000" w:fill="FFFFFF"/>
            <w:noWrap/>
            <w:vAlign w:val="center"/>
            <w:hideMark/>
          </w:tcPr>
          <w:p w14:paraId="2DA0065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single" w:sz="4" w:space="0" w:color="auto"/>
              <w:left w:val="nil"/>
              <w:bottom w:val="single" w:sz="4" w:space="0" w:color="auto"/>
              <w:right w:val="single" w:sz="8" w:space="0" w:color="auto"/>
            </w:tcBorders>
            <w:shd w:val="clear" w:color="000000" w:fill="FFFFFF"/>
            <w:noWrap/>
            <w:vAlign w:val="center"/>
            <w:hideMark/>
          </w:tcPr>
          <w:p w14:paraId="6F1F77D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single" w:sz="4" w:space="0" w:color="auto"/>
              <w:left w:val="nil"/>
              <w:bottom w:val="single" w:sz="4" w:space="0" w:color="auto"/>
              <w:right w:val="nil"/>
            </w:tcBorders>
            <w:shd w:val="clear" w:color="000000" w:fill="FFFFFF"/>
            <w:noWrap/>
            <w:vAlign w:val="center"/>
            <w:hideMark/>
          </w:tcPr>
          <w:p w14:paraId="25455D3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single" w:sz="4" w:space="0" w:color="auto"/>
              <w:left w:val="single" w:sz="4" w:space="0" w:color="auto"/>
              <w:bottom w:val="single" w:sz="4" w:space="0" w:color="auto"/>
              <w:right w:val="nil"/>
            </w:tcBorders>
            <w:shd w:val="clear" w:color="000000" w:fill="FFFFFF"/>
            <w:noWrap/>
            <w:vAlign w:val="center"/>
            <w:hideMark/>
          </w:tcPr>
          <w:p w14:paraId="7115758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F4A632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vMerge w:val="restart"/>
            <w:tcBorders>
              <w:top w:val="single" w:sz="4" w:space="0" w:color="auto"/>
              <w:left w:val="single" w:sz="4" w:space="0" w:color="auto"/>
              <w:bottom w:val="single" w:sz="4" w:space="0" w:color="000000"/>
              <w:right w:val="single" w:sz="12" w:space="0" w:color="auto"/>
            </w:tcBorders>
            <w:shd w:val="clear" w:color="000000" w:fill="FFFFFF"/>
            <w:vAlign w:val="center"/>
            <w:hideMark/>
          </w:tcPr>
          <w:p w14:paraId="43CAC87A"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r>
      <w:tr w:rsidR="00AC010F" w:rsidRPr="000A7FD1" w14:paraId="6E3D91A8" w14:textId="77777777" w:rsidTr="00D71ED5">
        <w:tblPrEx>
          <w:tblBorders>
            <w:top w:val="none" w:sz="0" w:space="0" w:color="auto"/>
            <w:left w:val="none" w:sz="0" w:space="0" w:color="auto"/>
            <w:bottom w:val="none" w:sz="0" w:space="0" w:color="auto"/>
            <w:right w:val="none" w:sz="0" w:space="0" w:color="auto"/>
          </w:tblBorders>
        </w:tblPrEx>
        <w:trPr>
          <w:trHeight w:val="1020"/>
        </w:trPr>
        <w:tc>
          <w:tcPr>
            <w:tcW w:w="410" w:type="pct"/>
            <w:vMerge/>
            <w:tcBorders>
              <w:top w:val="single" w:sz="8" w:space="0" w:color="auto"/>
              <w:left w:val="single" w:sz="12" w:space="0" w:color="auto"/>
              <w:bottom w:val="single" w:sz="8" w:space="0" w:color="auto"/>
              <w:right w:val="single" w:sz="4" w:space="0" w:color="auto"/>
            </w:tcBorders>
            <w:vAlign w:val="center"/>
            <w:hideMark/>
          </w:tcPr>
          <w:p w14:paraId="3CBD7386"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tcBorders>
              <w:top w:val="nil"/>
              <w:left w:val="single" w:sz="4" w:space="0" w:color="auto"/>
              <w:bottom w:val="single" w:sz="4" w:space="0" w:color="auto"/>
              <w:right w:val="nil"/>
            </w:tcBorders>
            <w:vAlign w:val="center"/>
            <w:hideMark/>
          </w:tcPr>
          <w:p w14:paraId="4B05ADCD" w14:textId="77777777" w:rsidR="00AC4220" w:rsidRPr="000A7FD1" w:rsidRDefault="00AC4220" w:rsidP="00AC4220">
            <w:pPr>
              <w:widowControl/>
              <w:adjustRightInd/>
              <w:spacing w:before="0" w:after="0"/>
              <w:textAlignment w:val="auto"/>
              <w:rPr>
                <w:rFonts w:cs="Arial"/>
                <w:color w:val="000000"/>
                <w:sz w:val="18"/>
                <w:szCs w:val="18"/>
              </w:rPr>
            </w:pPr>
          </w:p>
        </w:tc>
        <w:tc>
          <w:tcPr>
            <w:tcW w:w="349" w:type="pct"/>
            <w:gridSpan w:val="2"/>
            <w:tcBorders>
              <w:top w:val="nil"/>
              <w:left w:val="single" w:sz="8" w:space="0" w:color="auto"/>
              <w:right w:val="single" w:sz="4" w:space="0" w:color="auto"/>
            </w:tcBorders>
            <w:shd w:val="clear" w:color="000000" w:fill="FFFFFF"/>
            <w:noWrap/>
            <w:hideMark/>
          </w:tcPr>
          <w:p w14:paraId="33E96E4F"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79" w:type="pct"/>
            <w:vMerge/>
            <w:tcBorders>
              <w:top w:val="nil"/>
              <w:left w:val="single" w:sz="4" w:space="0" w:color="auto"/>
              <w:bottom w:val="single" w:sz="8" w:space="0" w:color="auto"/>
              <w:right w:val="single" w:sz="4" w:space="0" w:color="auto"/>
            </w:tcBorders>
            <w:vAlign w:val="center"/>
            <w:hideMark/>
          </w:tcPr>
          <w:p w14:paraId="1D39A890" w14:textId="77777777" w:rsidR="00AC4220" w:rsidRPr="000A7FD1" w:rsidRDefault="00AC4220" w:rsidP="00AC4220">
            <w:pPr>
              <w:widowControl/>
              <w:adjustRightInd/>
              <w:spacing w:before="0" w:after="0"/>
              <w:textAlignment w:val="auto"/>
              <w:rPr>
                <w:rFonts w:cs="Arial"/>
                <w:color w:val="000000"/>
                <w:sz w:val="18"/>
                <w:szCs w:val="18"/>
              </w:rPr>
            </w:pPr>
          </w:p>
        </w:tc>
        <w:tc>
          <w:tcPr>
            <w:tcW w:w="291" w:type="pct"/>
            <w:gridSpan w:val="3"/>
            <w:vMerge/>
            <w:tcBorders>
              <w:top w:val="nil"/>
              <w:left w:val="single" w:sz="4" w:space="0" w:color="auto"/>
              <w:bottom w:val="single" w:sz="8" w:space="0" w:color="auto"/>
              <w:right w:val="single" w:sz="8" w:space="0" w:color="auto"/>
            </w:tcBorders>
            <w:vAlign w:val="center"/>
            <w:hideMark/>
          </w:tcPr>
          <w:p w14:paraId="48046A50" w14:textId="77777777" w:rsidR="00AC4220" w:rsidRPr="000A7FD1" w:rsidRDefault="00AC4220" w:rsidP="00AC4220">
            <w:pPr>
              <w:widowControl/>
              <w:adjustRightInd/>
              <w:spacing w:before="0" w:after="0"/>
              <w:textAlignment w:val="auto"/>
              <w:rPr>
                <w:rFonts w:cs="Arial"/>
                <w:color w:val="000000"/>
                <w:sz w:val="18"/>
                <w:szCs w:val="18"/>
              </w:rPr>
            </w:pPr>
          </w:p>
        </w:tc>
        <w:tc>
          <w:tcPr>
            <w:tcW w:w="72" w:type="pct"/>
            <w:tcBorders>
              <w:top w:val="nil"/>
              <w:left w:val="nil"/>
              <w:bottom w:val="single" w:sz="8" w:space="0" w:color="auto"/>
              <w:right w:val="nil"/>
            </w:tcBorders>
            <w:shd w:val="clear" w:color="000000" w:fill="000000"/>
            <w:hideMark/>
          </w:tcPr>
          <w:p w14:paraId="6C6F5C45"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c>
          <w:tcPr>
            <w:tcW w:w="726" w:type="pct"/>
            <w:gridSpan w:val="4"/>
            <w:tcBorders>
              <w:top w:val="nil"/>
              <w:left w:val="single" w:sz="8" w:space="0" w:color="auto"/>
              <w:bottom w:val="single" w:sz="8" w:space="0" w:color="auto"/>
              <w:right w:val="single" w:sz="4" w:space="0" w:color="auto"/>
            </w:tcBorders>
            <w:shd w:val="clear" w:color="000000" w:fill="FFFFFF"/>
            <w:hideMark/>
          </w:tcPr>
          <w:p w14:paraId="0733C1C6"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4b. Assets, liabilities, net position, and budgetary balances are recorded in the proper accounts.</w:t>
            </w:r>
          </w:p>
        </w:tc>
        <w:tc>
          <w:tcPr>
            <w:tcW w:w="243" w:type="pct"/>
            <w:tcBorders>
              <w:top w:val="nil"/>
              <w:left w:val="nil"/>
              <w:bottom w:val="single" w:sz="8" w:space="0" w:color="auto"/>
              <w:right w:val="nil"/>
            </w:tcBorders>
            <w:shd w:val="clear" w:color="000000" w:fill="FFFFFF"/>
            <w:vAlign w:val="center"/>
            <w:hideMark/>
          </w:tcPr>
          <w:p w14:paraId="679D8266"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nil"/>
              <w:left w:val="single" w:sz="4" w:space="0" w:color="auto"/>
              <w:bottom w:val="single" w:sz="8" w:space="0" w:color="auto"/>
              <w:right w:val="single" w:sz="8" w:space="0" w:color="auto"/>
            </w:tcBorders>
            <w:shd w:val="clear" w:color="000000" w:fill="FFFFFF"/>
            <w:noWrap/>
            <w:vAlign w:val="center"/>
            <w:hideMark/>
          </w:tcPr>
          <w:p w14:paraId="20A0691C"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nil"/>
              <w:left w:val="nil"/>
              <w:bottom w:val="single" w:sz="8" w:space="0" w:color="auto"/>
              <w:right w:val="single" w:sz="4" w:space="0" w:color="auto"/>
            </w:tcBorders>
            <w:shd w:val="clear" w:color="000000" w:fill="FFFFFF"/>
            <w:noWrap/>
            <w:vAlign w:val="center"/>
            <w:hideMark/>
          </w:tcPr>
          <w:p w14:paraId="44ED19C8"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nil"/>
              <w:left w:val="nil"/>
              <w:bottom w:val="single" w:sz="8" w:space="0" w:color="auto"/>
              <w:right w:val="single" w:sz="8" w:space="0" w:color="auto"/>
            </w:tcBorders>
            <w:shd w:val="clear" w:color="000000" w:fill="FFFFFF"/>
            <w:noWrap/>
            <w:vAlign w:val="center"/>
            <w:hideMark/>
          </w:tcPr>
          <w:p w14:paraId="5702F9DA"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nil"/>
              <w:left w:val="nil"/>
              <w:bottom w:val="single" w:sz="8" w:space="0" w:color="auto"/>
              <w:right w:val="nil"/>
            </w:tcBorders>
            <w:shd w:val="clear" w:color="000000" w:fill="FFFFFF"/>
            <w:noWrap/>
            <w:vAlign w:val="center"/>
            <w:hideMark/>
          </w:tcPr>
          <w:p w14:paraId="28380520"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nil"/>
              <w:left w:val="single" w:sz="4" w:space="0" w:color="auto"/>
              <w:bottom w:val="single" w:sz="8" w:space="0" w:color="auto"/>
              <w:right w:val="nil"/>
            </w:tcBorders>
            <w:shd w:val="clear" w:color="000000" w:fill="FFFFFF"/>
            <w:noWrap/>
            <w:vAlign w:val="center"/>
            <w:hideMark/>
          </w:tcPr>
          <w:p w14:paraId="082969CE"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nil"/>
              <w:left w:val="single" w:sz="4" w:space="0" w:color="auto"/>
              <w:bottom w:val="single" w:sz="8" w:space="0" w:color="auto"/>
              <w:right w:val="single" w:sz="4" w:space="0" w:color="auto"/>
            </w:tcBorders>
            <w:shd w:val="clear" w:color="000000" w:fill="FFFFFF"/>
            <w:vAlign w:val="center"/>
            <w:hideMark/>
          </w:tcPr>
          <w:p w14:paraId="37CCBAC2"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vMerge/>
            <w:tcBorders>
              <w:top w:val="single" w:sz="4" w:space="0" w:color="auto"/>
              <w:left w:val="single" w:sz="4" w:space="0" w:color="auto"/>
              <w:bottom w:val="single" w:sz="4" w:space="0" w:color="000000"/>
              <w:right w:val="single" w:sz="12" w:space="0" w:color="auto"/>
            </w:tcBorders>
            <w:vAlign w:val="center"/>
            <w:hideMark/>
          </w:tcPr>
          <w:p w14:paraId="442583C9" w14:textId="77777777" w:rsidR="00AC4220" w:rsidRPr="000A7FD1" w:rsidRDefault="00AC4220" w:rsidP="00AC4220">
            <w:pPr>
              <w:widowControl/>
              <w:adjustRightInd/>
              <w:spacing w:before="0" w:after="0"/>
              <w:textAlignment w:val="auto"/>
              <w:rPr>
                <w:rFonts w:cs="Arial"/>
                <w:color w:val="000000"/>
                <w:sz w:val="18"/>
                <w:szCs w:val="18"/>
              </w:rPr>
            </w:pPr>
          </w:p>
        </w:tc>
      </w:tr>
      <w:tr w:rsidR="00AC010F" w:rsidRPr="000A7FD1" w14:paraId="2BFC0F7E" w14:textId="77777777" w:rsidTr="00D71ED5">
        <w:tblPrEx>
          <w:tblBorders>
            <w:top w:val="none" w:sz="0" w:space="0" w:color="auto"/>
            <w:left w:val="none" w:sz="0" w:space="0" w:color="auto"/>
            <w:bottom w:val="none" w:sz="0" w:space="0" w:color="auto"/>
            <w:right w:val="none" w:sz="0" w:space="0" w:color="auto"/>
          </w:tblBorders>
        </w:tblPrEx>
        <w:trPr>
          <w:trHeight w:val="2040"/>
        </w:trPr>
        <w:tc>
          <w:tcPr>
            <w:tcW w:w="410" w:type="pct"/>
            <w:vMerge/>
            <w:tcBorders>
              <w:top w:val="single" w:sz="8" w:space="0" w:color="auto"/>
              <w:left w:val="single" w:sz="12" w:space="0" w:color="auto"/>
              <w:bottom w:val="single" w:sz="8" w:space="0" w:color="auto"/>
              <w:right w:val="single" w:sz="4" w:space="0" w:color="auto"/>
            </w:tcBorders>
            <w:vAlign w:val="center"/>
            <w:hideMark/>
          </w:tcPr>
          <w:p w14:paraId="4B09B97D"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tcBorders>
              <w:top w:val="nil"/>
              <w:left w:val="single" w:sz="4" w:space="0" w:color="auto"/>
              <w:bottom w:val="single" w:sz="4" w:space="0" w:color="auto"/>
              <w:right w:val="nil"/>
            </w:tcBorders>
            <w:vAlign w:val="center"/>
            <w:hideMark/>
          </w:tcPr>
          <w:p w14:paraId="4F1DDA22" w14:textId="77777777" w:rsidR="00AC4220" w:rsidRPr="000A7FD1" w:rsidRDefault="00AC4220" w:rsidP="00AC4220">
            <w:pPr>
              <w:widowControl/>
              <w:adjustRightInd/>
              <w:spacing w:before="0" w:after="0"/>
              <w:textAlignment w:val="auto"/>
              <w:rPr>
                <w:rFonts w:cs="Arial"/>
                <w:color w:val="000000"/>
                <w:sz w:val="18"/>
                <w:szCs w:val="18"/>
              </w:rPr>
            </w:pPr>
          </w:p>
        </w:tc>
        <w:tc>
          <w:tcPr>
            <w:tcW w:w="349" w:type="pct"/>
            <w:gridSpan w:val="2"/>
            <w:tcBorders>
              <w:left w:val="single" w:sz="8" w:space="0" w:color="auto"/>
              <w:bottom w:val="nil"/>
              <w:right w:val="single" w:sz="4" w:space="0" w:color="auto"/>
            </w:tcBorders>
            <w:shd w:val="clear" w:color="000000" w:fill="FFFFFF"/>
            <w:noWrap/>
            <w:hideMark/>
          </w:tcPr>
          <w:p w14:paraId="47462F8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79" w:type="pct"/>
            <w:vMerge/>
            <w:tcBorders>
              <w:top w:val="single" w:sz="8" w:space="0" w:color="auto"/>
              <w:left w:val="single" w:sz="4" w:space="0" w:color="auto"/>
              <w:bottom w:val="single" w:sz="4" w:space="0" w:color="000000"/>
              <w:right w:val="single" w:sz="4" w:space="0" w:color="auto"/>
            </w:tcBorders>
            <w:vAlign w:val="center"/>
            <w:hideMark/>
          </w:tcPr>
          <w:p w14:paraId="6A9949F1" w14:textId="77777777" w:rsidR="00AC4220" w:rsidRPr="000A7FD1" w:rsidRDefault="00AC4220" w:rsidP="00AC4220">
            <w:pPr>
              <w:widowControl/>
              <w:adjustRightInd/>
              <w:spacing w:before="0" w:after="0"/>
              <w:textAlignment w:val="auto"/>
              <w:rPr>
                <w:rFonts w:cs="Arial"/>
                <w:color w:val="000000"/>
                <w:sz w:val="18"/>
                <w:szCs w:val="18"/>
              </w:rPr>
            </w:pPr>
          </w:p>
        </w:tc>
        <w:tc>
          <w:tcPr>
            <w:tcW w:w="291" w:type="pct"/>
            <w:gridSpan w:val="3"/>
            <w:vMerge/>
            <w:tcBorders>
              <w:top w:val="single" w:sz="8" w:space="0" w:color="auto"/>
              <w:left w:val="single" w:sz="4" w:space="0" w:color="auto"/>
              <w:bottom w:val="single" w:sz="4" w:space="0" w:color="000000"/>
              <w:right w:val="single" w:sz="8" w:space="0" w:color="auto"/>
            </w:tcBorders>
            <w:vAlign w:val="center"/>
            <w:hideMark/>
          </w:tcPr>
          <w:p w14:paraId="15B699D7" w14:textId="77777777" w:rsidR="00AC4220" w:rsidRPr="000A7FD1" w:rsidRDefault="00AC4220" w:rsidP="00AC4220">
            <w:pPr>
              <w:widowControl/>
              <w:adjustRightInd/>
              <w:spacing w:before="0" w:after="0"/>
              <w:textAlignment w:val="auto"/>
              <w:rPr>
                <w:rFonts w:cs="Arial"/>
                <w:color w:val="000000"/>
                <w:sz w:val="18"/>
                <w:szCs w:val="18"/>
              </w:rPr>
            </w:pPr>
          </w:p>
        </w:tc>
        <w:tc>
          <w:tcPr>
            <w:tcW w:w="72" w:type="pct"/>
            <w:tcBorders>
              <w:top w:val="single" w:sz="8" w:space="0" w:color="auto"/>
              <w:left w:val="nil"/>
              <w:bottom w:val="nil"/>
              <w:right w:val="nil"/>
            </w:tcBorders>
            <w:shd w:val="clear" w:color="000000" w:fill="000000"/>
            <w:hideMark/>
          </w:tcPr>
          <w:p w14:paraId="1938872D"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c>
          <w:tcPr>
            <w:tcW w:w="726" w:type="pct"/>
            <w:gridSpan w:val="4"/>
            <w:tcBorders>
              <w:top w:val="single" w:sz="8" w:space="0" w:color="auto"/>
              <w:left w:val="single" w:sz="8" w:space="0" w:color="auto"/>
              <w:bottom w:val="nil"/>
              <w:right w:val="single" w:sz="4" w:space="0" w:color="auto"/>
            </w:tcBorders>
            <w:shd w:val="clear" w:color="000000" w:fill="FFFFFF"/>
            <w:hideMark/>
          </w:tcPr>
          <w:p w14:paraId="28A69A6C"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4c. Recorded assets, liabilities, net position, and budgetary balances of the entity, at a given date, are supported by appropriate detailed records that are accurately summarized and reconciled to the account balance.</w:t>
            </w:r>
          </w:p>
        </w:tc>
        <w:tc>
          <w:tcPr>
            <w:tcW w:w="243" w:type="pct"/>
            <w:tcBorders>
              <w:top w:val="single" w:sz="8" w:space="0" w:color="auto"/>
              <w:left w:val="nil"/>
              <w:bottom w:val="single" w:sz="4" w:space="0" w:color="auto"/>
              <w:right w:val="single" w:sz="4" w:space="0" w:color="auto"/>
            </w:tcBorders>
            <w:shd w:val="clear" w:color="000000" w:fill="FFFFFF"/>
            <w:vAlign w:val="center"/>
            <w:hideMark/>
          </w:tcPr>
          <w:p w14:paraId="1A7EE93E"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single" w:sz="8" w:space="0" w:color="auto"/>
              <w:left w:val="nil"/>
              <w:bottom w:val="single" w:sz="4" w:space="0" w:color="auto"/>
              <w:right w:val="single" w:sz="8" w:space="0" w:color="auto"/>
            </w:tcBorders>
            <w:shd w:val="clear" w:color="000000" w:fill="FFFFFF"/>
            <w:noWrap/>
            <w:vAlign w:val="center"/>
            <w:hideMark/>
          </w:tcPr>
          <w:p w14:paraId="11C6B85B"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single" w:sz="8" w:space="0" w:color="auto"/>
              <w:left w:val="nil"/>
              <w:bottom w:val="single" w:sz="4" w:space="0" w:color="auto"/>
              <w:right w:val="single" w:sz="4" w:space="0" w:color="auto"/>
            </w:tcBorders>
            <w:shd w:val="clear" w:color="000000" w:fill="FFFFFF"/>
            <w:noWrap/>
            <w:vAlign w:val="center"/>
            <w:hideMark/>
          </w:tcPr>
          <w:p w14:paraId="0F9B43D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single" w:sz="8" w:space="0" w:color="auto"/>
              <w:left w:val="nil"/>
              <w:bottom w:val="single" w:sz="4" w:space="0" w:color="auto"/>
              <w:right w:val="single" w:sz="8" w:space="0" w:color="auto"/>
            </w:tcBorders>
            <w:shd w:val="clear" w:color="000000" w:fill="FFFFFF"/>
            <w:noWrap/>
            <w:vAlign w:val="center"/>
            <w:hideMark/>
          </w:tcPr>
          <w:p w14:paraId="52856AB6"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single" w:sz="8" w:space="0" w:color="auto"/>
              <w:left w:val="nil"/>
              <w:bottom w:val="single" w:sz="4" w:space="0" w:color="auto"/>
              <w:right w:val="nil"/>
            </w:tcBorders>
            <w:shd w:val="clear" w:color="000000" w:fill="FFFFFF"/>
            <w:noWrap/>
            <w:vAlign w:val="center"/>
            <w:hideMark/>
          </w:tcPr>
          <w:p w14:paraId="635BB46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single" w:sz="8" w:space="0" w:color="auto"/>
              <w:left w:val="single" w:sz="4" w:space="0" w:color="auto"/>
              <w:bottom w:val="single" w:sz="4" w:space="0" w:color="auto"/>
              <w:right w:val="single" w:sz="4" w:space="0" w:color="auto"/>
            </w:tcBorders>
            <w:shd w:val="clear" w:color="000000" w:fill="FFFFFF"/>
            <w:noWrap/>
            <w:vAlign w:val="center"/>
            <w:hideMark/>
          </w:tcPr>
          <w:p w14:paraId="502425DC"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single" w:sz="8" w:space="0" w:color="auto"/>
              <w:left w:val="nil"/>
              <w:bottom w:val="single" w:sz="4" w:space="0" w:color="auto"/>
              <w:right w:val="single" w:sz="4" w:space="0" w:color="auto"/>
            </w:tcBorders>
            <w:shd w:val="clear" w:color="000000" w:fill="FFFFFF"/>
            <w:vAlign w:val="center"/>
            <w:hideMark/>
          </w:tcPr>
          <w:p w14:paraId="15CD5858"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vMerge/>
            <w:tcBorders>
              <w:top w:val="single" w:sz="4" w:space="0" w:color="auto"/>
              <w:left w:val="single" w:sz="4" w:space="0" w:color="auto"/>
              <w:bottom w:val="single" w:sz="4" w:space="0" w:color="000000"/>
              <w:right w:val="single" w:sz="12" w:space="0" w:color="auto"/>
            </w:tcBorders>
            <w:vAlign w:val="center"/>
            <w:hideMark/>
          </w:tcPr>
          <w:p w14:paraId="01C2DF45" w14:textId="77777777" w:rsidR="00AC4220" w:rsidRPr="000A7FD1" w:rsidRDefault="00AC4220" w:rsidP="00AC4220">
            <w:pPr>
              <w:widowControl/>
              <w:adjustRightInd/>
              <w:spacing w:before="0" w:after="0"/>
              <w:textAlignment w:val="auto"/>
              <w:rPr>
                <w:rFonts w:cs="Arial"/>
                <w:color w:val="000000"/>
                <w:sz w:val="18"/>
                <w:szCs w:val="18"/>
              </w:rPr>
            </w:pPr>
          </w:p>
        </w:tc>
      </w:tr>
      <w:tr w:rsidR="00AC010F" w:rsidRPr="000A7FD1" w14:paraId="74C8A5AF" w14:textId="77777777" w:rsidTr="00D71ED5">
        <w:tblPrEx>
          <w:tblBorders>
            <w:top w:val="none" w:sz="0" w:space="0" w:color="auto"/>
            <w:left w:val="none" w:sz="0" w:space="0" w:color="auto"/>
            <w:bottom w:val="none" w:sz="0" w:space="0" w:color="auto"/>
            <w:right w:val="none" w:sz="0" w:space="0" w:color="auto"/>
          </w:tblBorders>
        </w:tblPrEx>
        <w:trPr>
          <w:trHeight w:val="1095"/>
        </w:trPr>
        <w:tc>
          <w:tcPr>
            <w:tcW w:w="410" w:type="pct"/>
            <w:vMerge/>
            <w:tcBorders>
              <w:top w:val="single" w:sz="8" w:space="0" w:color="auto"/>
              <w:left w:val="single" w:sz="12" w:space="0" w:color="auto"/>
              <w:bottom w:val="single" w:sz="8" w:space="0" w:color="auto"/>
              <w:right w:val="single" w:sz="4" w:space="0" w:color="auto"/>
            </w:tcBorders>
            <w:vAlign w:val="center"/>
            <w:hideMark/>
          </w:tcPr>
          <w:p w14:paraId="7FEB1BCE"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tcBorders>
              <w:top w:val="nil"/>
              <w:left w:val="single" w:sz="4" w:space="0" w:color="auto"/>
              <w:bottom w:val="single" w:sz="8" w:space="0" w:color="auto"/>
              <w:right w:val="nil"/>
            </w:tcBorders>
            <w:vAlign w:val="center"/>
            <w:hideMark/>
          </w:tcPr>
          <w:p w14:paraId="7996A62B" w14:textId="77777777" w:rsidR="00AC4220" w:rsidRPr="000A7FD1" w:rsidRDefault="00AC4220" w:rsidP="00AC4220">
            <w:pPr>
              <w:widowControl/>
              <w:adjustRightInd/>
              <w:spacing w:before="0" w:after="0"/>
              <w:textAlignment w:val="auto"/>
              <w:rPr>
                <w:rFonts w:cs="Arial"/>
                <w:color w:val="000000"/>
                <w:sz w:val="18"/>
                <w:szCs w:val="18"/>
              </w:rPr>
            </w:pPr>
          </w:p>
        </w:tc>
        <w:tc>
          <w:tcPr>
            <w:tcW w:w="349" w:type="pct"/>
            <w:gridSpan w:val="2"/>
            <w:tcBorders>
              <w:top w:val="nil"/>
              <w:left w:val="single" w:sz="8" w:space="0" w:color="auto"/>
              <w:bottom w:val="single" w:sz="8" w:space="0" w:color="auto"/>
              <w:right w:val="single" w:sz="4" w:space="0" w:color="auto"/>
            </w:tcBorders>
            <w:shd w:val="clear" w:color="000000" w:fill="FFFFFF"/>
            <w:noWrap/>
            <w:hideMark/>
          </w:tcPr>
          <w:p w14:paraId="2371B509"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79" w:type="pct"/>
            <w:vMerge/>
            <w:tcBorders>
              <w:top w:val="nil"/>
              <w:left w:val="single" w:sz="4" w:space="0" w:color="auto"/>
              <w:bottom w:val="single" w:sz="8" w:space="0" w:color="auto"/>
              <w:right w:val="single" w:sz="4" w:space="0" w:color="auto"/>
            </w:tcBorders>
            <w:vAlign w:val="center"/>
            <w:hideMark/>
          </w:tcPr>
          <w:p w14:paraId="5C3AE605" w14:textId="77777777" w:rsidR="00AC4220" w:rsidRPr="000A7FD1" w:rsidRDefault="00AC4220" w:rsidP="00AC4220">
            <w:pPr>
              <w:widowControl/>
              <w:adjustRightInd/>
              <w:spacing w:before="0" w:after="0"/>
              <w:textAlignment w:val="auto"/>
              <w:rPr>
                <w:rFonts w:cs="Arial"/>
                <w:color w:val="000000"/>
                <w:sz w:val="18"/>
                <w:szCs w:val="18"/>
              </w:rPr>
            </w:pPr>
          </w:p>
        </w:tc>
        <w:tc>
          <w:tcPr>
            <w:tcW w:w="291" w:type="pct"/>
            <w:gridSpan w:val="3"/>
            <w:vMerge/>
            <w:tcBorders>
              <w:top w:val="nil"/>
              <w:left w:val="single" w:sz="4" w:space="0" w:color="auto"/>
              <w:bottom w:val="single" w:sz="8" w:space="0" w:color="auto"/>
              <w:right w:val="single" w:sz="8" w:space="0" w:color="auto"/>
            </w:tcBorders>
            <w:vAlign w:val="center"/>
            <w:hideMark/>
          </w:tcPr>
          <w:p w14:paraId="5A974028" w14:textId="77777777" w:rsidR="00AC4220" w:rsidRPr="000A7FD1" w:rsidRDefault="00AC4220" w:rsidP="00AC4220">
            <w:pPr>
              <w:widowControl/>
              <w:adjustRightInd/>
              <w:spacing w:before="0" w:after="0"/>
              <w:textAlignment w:val="auto"/>
              <w:rPr>
                <w:rFonts w:cs="Arial"/>
                <w:color w:val="000000"/>
                <w:sz w:val="18"/>
                <w:szCs w:val="18"/>
              </w:rPr>
            </w:pPr>
          </w:p>
        </w:tc>
        <w:tc>
          <w:tcPr>
            <w:tcW w:w="72" w:type="pct"/>
            <w:tcBorders>
              <w:top w:val="nil"/>
              <w:left w:val="nil"/>
              <w:bottom w:val="single" w:sz="8" w:space="0" w:color="auto"/>
              <w:right w:val="nil"/>
            </w:tcBorders>
            <w:shd w:val="clear" w:color="000000" w:fill="000000"/>
            <w:hideMark/>
          </w:tcPr>
          <w:p w14:paraId="77851F69"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c>
          <w:tcPr>
            <w:tcW w:w="726" w:type="pct"/>
            <w:gridSpan w:val="4"/>
            <w:tcBorders>
              <w:top w:val="single" w:sz="4" w:space="0" w:color="auto"/>
              <w:left w:val="single" w:sz="8" w:space="0" w:color="auto"/>
              <w:bottom w:val="single" w:sz="8" w:space="0" w:color="auto"/>
              <w:right w:val="single" w:sz="4" w:space="0" w:color="auto"/>
            </w:tcBorders>
            <w:shd w:val="clear" w:color="000000" w:fill="FFFFFF"/>
            <w:hideMark/>
          </w:tcPr>
          <w:p w14:paraId="4912FA0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4d. Projected revenues and expenditures in the sustainability statements are valid.</w:t>
            </w:r>
          </w:p>
        </w:tc>
        <w:tc>
          <w:tcPr>
            <w:tcW w:w="243" w:type="pct"/>
            <w:tcBorders>
              <w:top w:val="nil"/>
              <w:left w:val="nil"/>
              <w:bottom w:val="single" w:sz="8" w:space="0" w:color="auto"/>
              <w:right w:val="nil"/>
            </w:tcBorders>
            <w:shd w:val="clear" w:color="000000" w:fill="FFFFFF"/>
            <w:vAlign w:val="center"/>
            <w:hideMark/>
          </w:tcPr>
          <w:p w14:paraId="780EB42F"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nil"/>
              <w:left w:val="single" w:sz="4" w:space="0" w:color="auto"/>
              <w:bottom w:val="single" w:sz="8" w:space="0" w:color="auto"/>
              <w:right w:val="single" w:sz="8" w:space="0" w:color="auto"/>
            </w:tcBorders>
            <w:shd w:val="clear" w:color="000000" w:fill="FFFFFF"/>
            <w:noWrap/>
            <w:vAlign w:val="center"/>
            <w:hideMark/>
          </w:tcPr>
          <w:p w14:paraId="6723608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nil"/>
              <w:left w:val="nil"/>
              <w:bottom w:val="single" w:sz="8" w:space="0" w:color="auto"/>
              <w:right w:val="single" w:sz="4" w:space="0" w:color="auto"/>
            </w:tcBorders>
            <w:shd w:val="clear" w:color="000000" w:fill="FFFFFF"/>
            <w:noWrap/>
            <w:vAlign w:val="center"/>
            <w:hideMark/>
          </w:tcPr>
          <w:p w14:paraId="533A821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nil"/>
              <w:left w:val="nil"/>
              <w:bottom w:val="single" w:sz="8" w:space="0" w:color="auto"/>
              <w:right w:val="single" w:sz="8" w:space="0" w:color="auto"/>
            </w:tcBorders>
            <w:shd w:val="clear" w:color="000000" w:fill="FFFFFF"/>
            <w:noWrap/>
            <w:vAlign w:val="center"/>
            <w:hideMark/>
          </w:tcPr>
          <w:p w14:paraId="069D99E8"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nil"/>
              <w:left w:val="nil"/>
              <w:bottom w:val="single" w:sz="8" w:space="0" w:color="auto"/>
              <w:right w:val="nil"/>
            </w:tcBorders>
            <w:shd w:val="clear" w:color="000000" w:fill="FFFFFF"/>
            <w:noWrap/>
            <w:vAlign w:val="center"/>
            <w:hideMark/>
          </w:tcPr>
          <w:p w14:paraId="6725FBD2"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nil"/>
              <w:left w:val="single" w:sz="4" w:space="0" w:color="auto"/>
              <w:bottom w:val="single" w:sz="8" w:space="0" w:color="auto"/>
              <w:right w:val="nil"/>
            </w:tcBorders>
            <w:shd w:val="clear" w:color="000000" w:fill="FFFFFF"/>
            <w:noWrap/>
            <w:vAlign w:val="center"/>
            <w:hideMark/>
          </w:tcPr>
          <w:p w14:paraId="373A9D60"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nil"/>
              <w:left w:val="single" w:sz="4" w:space="0" w:color="auto"/>
              <w:bottom w:val="single" w:sz="8" w:space="0" w:color="auto"/>
              <w:right w:val="single" w:sz="4" w:space="0" w:color="auto"/>
            </w:tcBorders>
            <w:shd w:val="clear" w:color="000000" w:fill="FFFFFF"/>
            <w:vAlign w:val="center"/>
            <w:hideMark/>
          </w:tcPr>
          <w:p w14:paraId="5EB44FE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vMerge/>
            <w:tcBorders>
              <w:top w:val="single" w:sz="4" w:space="0" w:color="auto"/>
              <w:left w:val="single" w:sz="4" w:space="0" w:color="auto"/>
              <w:bottom w:val="single" w:sz="4" w:space="0" w:color="000000"/>
              <w:right w:val="single" w:sz="12" w:space="0" w:color="auto"/>
            </w:tcBorders>
            <w:vAlign w:val="center"/>
            <w:hideMark/>
          </w:tcPr>
          <w:p w14:paraId="466A3D90" w14:textId="77777777" w:rsidR="00AC4220" w:rsidRPr="000A7FD1" w:rsidRDefault="00AC4220" w:rsidP="00AC4220">
            <w:pPr>
              <w:widowControl/>
              <w:adjustRightInd/>
              <w:spacing w:before="0" w:after="0"/>
              <w:textAlignment w:val="auto"/>
              <w:rPr>
                <w:rFonts w:cs="Arial"/>
                <w:color w:val="000000"/>
                <w:sz w:val="18"/>
                <w:szCs w:val="18"/>
              </w:rPr>
            </w:pPr>
          </w:p>
        </w:tc>
      </w:tr>
      <w:tr w:rsidR="00AC010F" w:rsidRPr="000A7FD1" w14:paraId="3001E017" w14:textId="77777777" w:rsidTr="00D71ED5">
        <w:tblPrEx>
          <w:tblBorders>
            <w:top w:val="none" w:sz="0" w:space="0" w:color="auto"/>
            <w:left w:val="none" w:sz="0" w:space="0" w:color="auto"/>
            <w:bottom w:val="none" w:sz="0" w:space="0" w:color="auto"/>
            <w:right w:val="none" w:sz="0" w:space="0" w:color="auto"/>
          </w:tblBorders>
        </w:tblPrEx>
        <w:trPr>
          <w:trHeight w:val="1530"/>
        </w:trPr>
        <w:tc>
          <w:tcPr>
            <w:tcW w:w="410" w:type="pct"/>
            <w:vMerge/>
            <w:tcBorders>
              <w:top w:val="single" w:sz="8" w:space="0" w:color="auto"/>
              <w:left w:val="single" w:sz="12" w:space="0" w:color="auto"/>
              <w:bottom w:val="single" w:sz="8" w:space="0" w:color="auto"/>
              <w:right w:val="single" w:sz="4" w:space="0" w:color="auto"/>
            </w:tcBorders>
            <w:vAlign w:val="center"/>
            <w:hideMark/>
          </w:tcPr>
          <w:p w14:paraId="50892BC0"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tcBorders>
              <w:top w:val="single" w:sz="8" w:space="0" w:color="auto"/>
              <w:left w:val="single" w:sz="4" w:space="0" w:color="auto"/>
              <w:bottom w:val="single" w:sz="4" w:space="0" w:color="auto"/>
              <w:right w:val="nil"/>
            </w:tcBorders>
            <w:vAlign w:val="center"/>
            <w:hideMark/>
          </w:tcPr>
          <w:p w14:paraId="39604449" w14:textId="77777777" w:rsidR="00AC4220" w:rsidRPr="000A7FD1" w:rsidRDefault="00AC4220" w:rsidP="00AC4220">
            <w:pPr>
              <w:widowControl/>
              <w:adjustRightInd/>
              <w:spacing w:before="0" w:after="0"/>
              <w:textAlignment w:val="auto"/>
              <w:rPr>
                <w:rFonts w:cs="Arial"/>
                <w:color w:val="000000"/>
                <w:sz w:val="18"/>
                <w:szCs w:val="18"/>
              </w:rPr>
            </w:pPr>
          </w:p>
        </w:tc>
        <w:tc>
          <w:tcPr>
            <w:tcW w:w="349" w:type="pct"/>
            <w:gridSpan w:val="2"/>
            <w:tcBorders>
              <w:top w:val="single" w:sz="8" w:space="0" w:color="auto"/>
              <w:left w:val="single" w:sz="8" w:space="0" w:color="auto"/>
              <w:bottom w:val="single" w:sz="4" w:space="0" w:color="auto"/>
              <w:right w:val="single" w:sz="4" w:space="0" w:color="auto"/>
            </w:tcBorders>
            <w:shd w:val="clear" w:color="000000" w:fill="FFFFFF"/>
            <w:noWrap/>
            <w:hideMark/>
          </w:tcPr>
          <w:p w14:paraId="3D286EB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79" w:type="pct"/>
            <w:vMerge/>
            <w:tcBorders>
              <w:top w:val="single" w:sz="8" w:space="0" w:color="auto"/>
              <w:left w:val="single" w:sz="4" w:space="0" w:color="auto"/>
              <w:bottom w:val="single" w:sz="4" w:space="0" w:color="000000"/>
              <w:right w:val="single" w:sz="4" w:space="0" w:color="auto"/>
            </w:tcBorders>
            <w:vAlign w:val="center"/>
            <w:hideMark/>
          </w:tcPr>
          <w:p w14:paraId="532B9C1F" w14:textId="77777777" w:rsidR="00AC4220" w:rsidRPr="000A7FD1" w:rsidRDefault="00AC4220" w:rsidP="00AC4220">
            <w:pPr>
              <w:widowControl/>
              <w:adjustRightInd/>
              <w:spacing w:before="0" w:after="0"/>
              <w:textAlignment w:val="auto"/>
              <w:rPr>
                <w:rFonts w:cs="Arial"/>
                <w:color w:val="000000"/>
                <w:sz w:val="18"/>
                <w:szCs w:val="18"/>
              </w:rPr>
            </w:pPr>
          </w:p>
        </w:tc>
        <w:tc>
          <w:tcPr>
            <w:tcW w:w="291" w:type="pct"/>
            <w:gridSpan w:val="3"/>
            <w:vMerge/>
            <w:tcBorders>
              <w:top w:val="single" w:sz="8" w:space="0" w:color="auto"/>
              <w:left w:val="single" w:sz="4" w:space="0" w:color="auto"/>
              <w:bottom w:val="single" w:sz="4" w:space="0" w:color="000000"/>
              <w:right w:val="single" w:sz="8" w:space="0" w:color="auto"/>
            </w:tcBorders>
            <w:vAlign w:val="center"/>
            <w:hideMark/>
          </w:tcPr>
          <w:p w14:paraId="4B113BF6" w14:textId="77777777" w:rsidR="00AC4220" w:rsidRPr="000A7FD1" w:rsidRDefault="00AC4220" w:rsidP="00AC4220">
            <w:pPr>
              <w:widowControl/>
              <w:adjustRightInd/>
              <w:spacing w:before="0" w:after="0"/>
              <w:textAlignment w:val="auto"/>
              <w:rPr>
                <w:rFonts w:cs="Arial"/>
                <w:color w:val="000000"/>
                <w:sz w:val="18"/>
                <w:szCs w:val="18"/>
              </w:rPr>
            </w:pPr>
          </w:p>
        </w:tc>
        <w:tc>
          <w:tcPr>
            <w:tcW w:w="72" w:type="pct"/>
            <w:tcBorders>
              <w:top w:val="single" w:sz="8" w:space="0" w:color="auto"/>
              <w:left w:val="nil"/>
              <w:bottom w:val="single" w:sz="4" w:space="0" w:color="auto"/>
              <w:right w:val="nil"/>
            </w:tcBorders>
            <w:shd w:val="clear" w:color="000000" w:fill="000000"/>
            <w:hideMark/>
          </w:tcPr>
          <w:p w14:paraId="6F361904"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c>
          <w:tcPr>
            <w:tcW w:w="726" w:type="pct"/>
            <w:gridSpan w:val="4"/>
            <w:tcBorders>
              <w:top w:val="single" w:sz="8" w:space="0" w:color="auto"/>
              <w:left w:val="single" w:sz="8" w:space="0" w:color="auto"/>
              <w:bottom w:val="single" w:sz="4" w:space="0" w:color="auto"/>
              <w:right w:val="single" w:sz="4" w:space="0" w:color="auto"/>
            </w:tcBorders>
            <w:shd w:val="clear" w:color="000000" w:fill="FFFFFF"/>
            <w:hideMark/>
          </w:tcPr>
          <w:p w14:paraId="096AA7B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4e. Access to assets, critical forms, records, and processing and storage areas is permitted only in accordance with laws, regulations, and management policy.</w:t>
            </w:r>
          </w:p>
        </w:tc>
        <w:tc>
          <w:tcPr>
            <w:tcW w:w="243" w:type="pct"/>
            <w:tcBorders>
              <w:top w:val="single" w:sz="8" w:space="0" w:color="auto"/>
              <w:left w:val="nil"/>
              <w:bottom w:val="nil"/>
              <w:right w:val="nil"/>
            </w:tcBorders>
            <w:shd w:val="clear" w:color="000000" w:fill="FFFFFF"/>
            <w:vAlign w:val="center"/>
            <w:hideMark/>
          </w:tcPr>
          <w:p w14:paraId="5BAFE0E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single" w:sz="8" w:space="0" w:color="auto"/>
              <w:left w:val="single" w:sz="4" w:space="0" w:color="auto"/>
              <w:bottom w:val="nil"/>
              <w:right w:val="single" w:sz="8" w:space="0" w:color="auto"/>
            </w:tcBorders>
            <w:shd w:val="clear" w:color="000000" w:fill="FFFFFF"/>
            <w:noWrap/>
            <w:vAlign w:val="center"/>
            <w:hideMark/>
          </w:tcPr>
          <w:p w14:paraId="0552FEB2"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single" w:sz="8" w:space="0" w:color="auto"/>
              <w:left w:val="nil"/>
              <w:bottom w:val="nil"/>
              <w:right w:val="single" w:sz="4" w:space="0" w:color="auto"/>
            </w:tcBorders>
            <w:shd w:val="clear" w:color="000000" w:fill="FFFFFF"/>
            <w:noWrap/>
            <w:vAlign w:val="center"/>
            <w:hideMark/>
          </w:tcPr>
          <w:p w14:paraId="5C0195CE"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single" w:sz="8" w:space="0" w:color="auto"/>
              <w:left w:val="nil"/>
              <w:bottom w:val="nil"/>
              <w:right w:val="single" w:sz="8" w:space="0" w:color="auto"/>
            </w:tcBorders>
            <w:shd w:val="clear" w:color="000000" w:fill="FFFFFF"/>
            <w:noWrap/>
            <w:vAlign w:val="center"/>
            <w:hideMark/>
          </w:tcPr>
          <w:p w14:paraId="43DCE0F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single" w:sz="8" w:space="0" w:color="auto"/>
              <w:left w:val="nil"/>
              <w:bottom w:val="nil"/>
              <w:right w:val="nil"/>
            </w:tcBorders>
            <w:shd w:val="clear" w:color="000000" w:fill="FFFFFF"/>
            <w:noWrap/>
            <w:vAlign w:val="center"/>
            <w:hideMark/>
          </w:tcPr>
          <w:p w14:paraId="0BAE66FA"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single" w:sz="8" w:space="0" w:color="auto"/>
              <w:left w:val="single" w:sz="4" w:space="0" w:color="auto"/>
              <w:bottom w:val="nil"/>
              <w:right w:val="nil"/>
            </w:tcBorders>
            <w:shd w:val="clear" w:color="000000" w:fill="FFFFFF"/>
            <w:noWrap/>
            <w:vAlign w:val="center"/>
            <w:hideMark/>
          </w:tcPr>
          <w:p w14:paraId="3CB14E1A"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single" w:sz="8" w:space="0" w:color="auto"/>
              <w:left w:val="single" w:sz="4" w:space="0" w:color="auto"/>
              <w:bottom w:val="single" w:sz="4" w:space="0" w:color="auto"/>
              <w:right w:val="single" w:sz="4" w:space="0" w:color="auto"/>
            </w:tcBorders>
            <w:shd w:val="clear" w:color="000000" w:fill="FFFFFF"/>
            <w:vAlign w:val="center"/>
            <w:hideMark/>
          </w:tcPr>
          <w:p w14:paraId="790E07A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vMerge/>
            <w:tcBorders>
              <w:top w:val="single" w:sz="4" w:space="0" w:color="auto"/>
              <w:left w:val="single" w:sz="4" w:space="0" w:color="auto"/>
              <w:bottom w:val="single" w:sz="4" w:space="0" w:color="000000"/>
              <w:right w:val="single" w:sz="12" w:space="0" w:color="auto"/>
            </w:tcBorders>
            <w:vAlign w:val="center"/>
            <w:hideMark/>
          </w:tcPr>
          <w:p w14:paraId="2A483ABB" w14:textId="77777777" w:rsidR="00AC4220" w:rsidRPr="000A7FD1" w:rsidRDefault="00AC4220" w:rsidP="00AC4220">
            <w:pPr>
              <w:widowControl/>
              <w:adjustRightInd/>
              <w:spacing w:before="0" w:after="0"/>
              <w:textAlignment w:val="auto"/>
              <w:rPr>
                <w:rFonts w:cs="Arial"/>
                <w:color w:val="000000"/>
                <w:sz w:val="18"/>
                <w:szCs w:val="18"/>
              </w:rPr>
            </w:pPr>
          </w:p>
        </w:tc>
      </w:tr>
      <w:tr w:rsidR="00AC010F" w:rsidRPr="000A7FD1" w14:paraId="557509A9" w14:textId="77777777" w:rsidTr="00F15268">
        <w:tblPrEx>
          <w:tblBorders>
            <w:top w:val="none" w:sz="0" w:space="0" w:color="auto"/>
            <w:left w:val="none" w:sz="0" w:space="0" w:color="auto"/>
            <w:bottom w:val="none" w:sz="0" w:space="0" w:color="auto"/>
            <w:right w:val="none" w:sz="0" w:space="0" w:color="auto"/>
          </w:tblBorders>
        </w:tblPrEx>
        <w:trPr>
          <w:trHeight w:val="255"/>
        </w:trPr>
        <w:tc>
          <w:tcPr>
            <w:tcW w:w="410" w:type="pct"/>
            <w:vMerge w:val="restart"/>
            <w:tcBorders>
              <w:top w:val="single" w:sz="8" w:space="0" w:color="auto"/>
              <w:left w:val="single" w:sz="12" w:space="0" w:color="auto"/>
              <w:bottom w:val="single" w:sz="8" w:space="0" w:color="auto"/>
              <w:right w:val="single" w:sz="4" w:space="0" w:color="auto"/>
            </w:tcBorders>
            <w:shd w:val="clear" w:color="000000" w:fill="FFFFFF"/>
            <w:noWrap/>
            <w:hideMark/>
          </w:tcPr>
          <w:p w14:paraId="52FEA91F"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Completeness</w:t>
            </w:r>
          </w:p>
        </w:tc>
        <w:tc>
          <w:tcPr>
            <w:tcW w:w="3228" w:type="pct"/>
            <w:gridSpan w:val="17"/>
            <w:tcBorders>
              <w:top w:val="single" w:sz="4" w:space="0" w:color="auto"/>
              <w:left w:val="nil"/>
              <w:bottom w:val="single" w:sz="4" w:space="0" w:color="auto"/>
              <w:right w:val="single" w:sz="8" w:space="0" w:color="000000"/>
            </w:tcBorders>
            <w:shd w:val="clear" w:color="000000" w:fill="000000"/>
            <w:hideMark/>
          </w:tcPr>
          <w:p w14:paraId="0EAAF124" w14:textId="77777777" w:rsidR="00AC4220" w:rsidRPr="000A7FD1" w:rsidRDefault="00AC4220" w:rsidP="00AC4220">
            <w:pPr>
              <w:widowControl/>
              <w:adjustRightInd/>
              <w:spacing w:before="0" w:after="0"/>
              <w:textAlignment w:val="auto"/>
              <w:rPr>
                <w:rFonts w:cs="Arial"/>
                <w:b/>
                <w:bCs/>
                <w:color w:val="FFFFFF"/>
                <w:sz w:val="18"/>
                <w:szCs w:val="18"/>
              </w:rPr>
            </w:pPr>
            <w:r w:rsidRPr="000A7FD1">
              <w:rPr>
                <w:rFonts w:cs="Arial"/>
                <w:b/>
                <w:bCs/>
                <w:color w:val="FFFFFF"/>
                <w:sz w:val="18"/>
                <w:szCs w:val="18"/>
              </w:rPr>
              <w:t>Transaction related</w:t>
            </w:r>
          </w:p>
        </w:tc>
        <w:tc>
          <w:tcPr>
            <w:tcW w:w="170" w:type="pct"/>
            <w:tcBorders>
              <w:top w:val="nil"/>
              <w:left w:val="nil"/>
              <w:bottom w:val="nil"/>
              <w:right w:val="nil"/>
            </w:tcBorders>
            <w:shd w:val="clear" w:color="000000" w:fill="000000"/>
            <w:noWrap/>
            <w:vAlign w:val="bottom"/>
            <w:hideMark/>
          </w:tcPr>
          <w:p w14:paraId="4EF1B49D"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nil"/>
              <w:left w:val="nil"/>
              <w:bottom w:val="nil"/>
              <w:right w:val="nil"/>
            </w:tcBorders>
            <w:shd w:val="clear" w:color="000000" w:fill="000000"/>
            <w:noWrap/>
            <w:vAlign w:val="bottom"/>
            <w:hideMark/>
          </w:tcPr>
          <w:p w14:paraId="29AAD044"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nil"/>
              <w:left w:val="single" w:sz="4" w:space="0" w:color="auto"/>
              <w:bottom w:val="nil"/>
              <w:right w:val="nil"/>
            </w:tcBorders>
            <w:shd w:val="clear" w:color="000000" w:fill="000000"/>
            <w:noWrap/>
            <w:vAlign w:val="bottom"/>
            <w:hideMark/>
          </w:tcPr>
          <w:p w14:paraId="19048364"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nil"/>
              <w:left w:val="nil"/>
              <w:bottom w:val="nil"/>
              <w:right w:val="nil"/>
            </w:tcBorders>
            <w:shd w:val="clear" w:color="000000" w:fill="000000"/>
            <w:noWrap/>
            <w:vAlign w:val="bottom"/>
            <w:hideMark/>
          </w:tcPr>
          <w:p w14:paraId="5D31602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tcBorders>
              <w:top w:val="nil"/>
              <w:left w:val="nil"/>
              <w:bottom w:val="nil"/>
              <w:right w:val="single" w:sz="12" w:space="0" w:color="auto"/>
            </w:tcBorders>
            <w:shd w:val="clear" w:color="000000" w:fill="000000"/>
            <w:noWrap/>
            <w:vAlign w:val="bottom"/>
            <w:hideMark/>
          </w:tcPr>
          <w:p w14:paraId="4A41B2CC"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r>
      <w:tr w:rsidR="00AC010F" w:rsidRPr="000A7FD1" w14:paraId="3B84581E" w14:textId="77777777" w:rsidTr="00D71ED5">
        <w:tblPrEx>
          <w:tblBorders>
            <w:top w:val="none" w:sz="0" w:space="0" w:color="auto"/>
            <w:left w:val="none" w:sz="0" w:space="0" w:color="auto"/>
            <w:bottom w:val="none" w:sz="0" w:space="0" w:color="auto"/>
            <w:right w:val="none" w:sz="0" w:space="0" w:color="auto"/>
          </w:tblBorders>
        </w:tblPrEx>
        <w:trPr>
          <w:trHeight w:val="765"/>
        </w:trPr>
        <w:tc>
          <w:tcPr>
            <w:tcW w:w="410" w:type="pct"/>
            <w:vMerge/>
            <w:tcBorders>
              <w:top w:val="single" w:sz="4" w:space="0" w:color="000000"/>
              <w:left w:val="single" w:sz="12" w:space="0" w:color="auto"/>
              <w:bottom w:val="single" w:sz="8" w:space="0" w:color="auto"/>
              <w:right w:val="single" w:sz="4" w:space="0" w:color="auto"/>
            </w:tcBorders>
            <w:vAlign w:val="center"/>
            <w:hideMark/>
          </w:tcPr>
          <w:p w14:paraId="0600722A"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val="restart"/>
            <w:tcBorders>
              <w:top w:val="nil"/>
              <w:left w:val="single" w:sz="4" w:space="0" w:color="auto"/>
              <w:bottom w:val="single" w:sz="4" w:space="0" w:color="000000"/>
              <w:right w:val="nil"/>
            </w:tcBorders>
            <w:shd w:val="clear" w:color="auto" w:fill="auto"/>
            <w:hideMark/>
          </w:tcPr>
          <w:p w14:paraId="0FD048AD"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u w:val="single"/>
              </w:rPr>
              <w:t>Transaction completeness</w:t>
            </w:r>
            <w:r w:rsidRPr="000A7FD1">
              <w:rPr>
                <w:rFonts w:cs="Arial"/>
                <w:color w:val="000000"/>
                <w:sz w:val="18"/>
                <w:szCs w:val="18"/>
              </w:rPr>
              <w:t>:</w:t>
            </w:r>
            <w:r w:rsidRPr="000A7FD1">
              <w:rPr>
                <w:rFonts w:cs="Arial"/>
                <w:color w:val="000000"/>
                <w:sz w:val="18"/>
                <w:szCs w:val="18"/>
              </w:rPr>
              <w:br/>
              <w:t>5. Valid transactions and events are not recorded or are recorded in the incorrect accounts.</w:t>
            </w:r>
          </w:p>
          <w:p w14:paraId="5A285999" w14:textId="77777777" w:rsidR="00C35877" w:rsidRPr="000A7FD1" w:rsidRDefault="00C35877" w:rsidP="00AC4220">
            <w:pPr>
              <w:widowControl/>
              <w:adjustRightInd/>
              <w:spacing w:before="0" w:after="0"/>
              <w:textAlignment w:val="auto"/>
              <w:rPr>
                <w:rFonts w:cs="Arial"/>
                <w:color w:val="000000"/>
                <w:sz w:val="18"/>
                <w:szCs w:val="18"/>
              </w:rPr>
            </w:pPr>
          </w:p>
        </w:tc>
        <w:tc>
          <w:tcPr>
            <w:tcW w:w="349" w:type="pct"/>
            <w:gridSpan w:val="2"/>
            <w:tcBorders>
              <w:top w:val="nil"/>
              <w:left w:val="single" w:sz="8" w:space="0" w:color="auto"/>
              <w:bottom w:val="single" w:sz="4" w:space="0" w:color="auto"/>
              <w:right w:val="single" w:sz="4" w:space="0" w:color="auto"/>
            </w:tcBorders>
            <w:shd w:val="clear" w:color="000000" w:fill="FFFFFF"/>
            <w:noWrap/>
            <w:hideMark/>
          </w:tcPr>
          <w:p w14:paraId="5902201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79" w:type="pct"/>
            <w:tcBorders>
              <w:top w:val="nil"/>
              <w:left w:val="nil"/>
              <w:bottom w:val="single" w:sz="4" w:space="0" w:color="auto"/>
              <w:right w:val="single" w:sz="4" w:space="0" w:color="auto"/>
            </w:tcBorders>
            <w:shd w:val="clear" w:color="auto" w:fill="auto"/>
            <w:hideMark/>
          </w:tcPr>
          <w:p w14:paraId="41960692"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1" w:type="pct"/>
            <w:gridSpan w:val="3"/>
            <w:tcBorders>
              <w:top w:val="nil"/>
              <w:left w:val="nil"/>
              <w:bottom w:val="single" w:sz="4" w:space="0" w:color="auto"/>
              <w:right w:val="single" w:sz="8" w:space="0" w:color="auto"/>
            </w:tcBorders>
            <w:shd w:val="clear" w:color="auto" w:fill="auto"/>
            <w:hideMark/>
          </w:tcPr>
          <w:p w14:paraId="3386DE50"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 w:type="pct"/>
            <w:tcBorders>
              <w:top w:val="nil"/>
              <w:left w:val="nil"/>
              <w:bottom w:val="nil"/>
              <w:right w:val="nil"/>
            </w:tcBorders>
            <w:shd w:val="clear" w:color="000000" w:fill="000000"/>
            <w:hideMark/>
          </w:tcPr>
          <w:p w14:paraId="580B83A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6" w:type="pct"/>
            <w:gridSpan w:val="4"/>
            <w:vMerge w:val="restart"/>
            <w:tcBorders>
              <w:top w:val="nil"/>
              <w:left w:val="single" w:sz="8" w:space="0" w:color="auto"/>
              <w:bottom w:val="single" w:sz="4" w:space="0" w:color="000000"/>
              <w:right w:val="single" w:sz="4" w:space="0" w:color="auto"/>
            </w:tcBorders>
            <w:shd w:val="clear" w:color="000000" w:fill="FFFFFF"/>
            <w:hideMark/>
          </w:tcPr>
          <w:p w14:paraId="4CC62FF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5. All valid transactions and events are recorded in the proper accounts.</w:t>
            </w:r>
          </w:p>
        </w:tc>
        <w:tc>
          <w:tcPr>
            <w:tcW w:w="243" w:type="pct"/>
            <w:tcBorders>
              <w:top w:val="nil"/>
              <w:left w:val="nil"/>
              <w:bottom w:val="nil"/>
              <w:right w:val="nil"/>
            </w:tcBorders>
            <w:shd w:val="clear" w:color="000000" w:fill="FFFFFF"/>
            <w:vAlign w:val="center"/>
            <w:hideMark/>
          </w:tcPr>
          <w:p w14:paraId="6A2A636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nil"/>
              <w:left w:val="single" w:sz="4" w:space="0" w:color="auto"/>
              <w:bottom w:val="nil"/>
              <w:right w:val="single" w:sz="8" w:space="0" w:color="auto"/>
            </w:tcBorders>
            <w:shd w:val="clear" w:color="000000" w:fill="FFFFFF"/>
            <w:noWrap/>
            <w:vAlign w:val="center"/>
            <w:hideMark/>
          </w:tcPr>
          <w:p w14:paraId="7734565C"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nil"/>
              <w:left w:val="nil"/>
              <w:bottom w:val="nil"/>
              <w:right w:val="nil"/>
            </w:tcBorders>
            <w:shd w:val="clear" w:color="000000" w:fill="FFFFFF"/>
            <w:noWrap/>
            <w:vAlign w:val="center"/>
            <w:hideMark/>
          </w:tcPr>
          <w:p w14:paraId="2DE1EF80"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single" w:sz="4" w:space="0" w:color="auto"/>
              <w:left w:val="single" w:sz="4" w:space="0" w:color="auto"/>
              <w:bottom w:val="nil"/>
              <w:right w:val="single" w:sz="8" w:space="0" w:color="auto"/>
            </w:tcBorders>
            <w:shd w:val="clear" w:color="000000" w:fill="FFFFFF"/>
            <w:noWrap/>
            <w:vAlign w:val="center"/>
            <w:hideMark/>
          </w:tcPr>
          <w:p w14:paraId="4FADC084"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single" w:sz="4" w:space="0" w:color="auto"/>
              <w:left w:val="nil"/>
              <w:bottom w:val="nil"/>
              <w:right w:val="nil"/>
            </w:tcBorders>
            <w:shd w:val="clear" w:color="000000" w:fill="FFFFFF"/>
            <w:noWrap/>
            <w:vAlign w:val="center"/>
            <w:hideMark/>
          </w:tcPr>
          <w:p w14:paraId="57BF589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single" w:sz="4" w:space="0" w:color="auto"/>
              <w:left w:val="single" w:sz="4" w:space="0" w:color="auto"/>
              <w:bottom w:val="nil"/>
              <w:right w:val="nil"/>
            </w:tcBorders>
            <w:shd w:val="clear" w:color="000000" w:fill="FFFFFF"/>
            <w:noWrap/>
            <w:vAlign w:val="center"/>
            <w:hideMark/>
          </w:tcPr>
          <w:p w14:paraId="62B5EA5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single" w:sz="4" w:space="0" w:color="auto"/>
              <w:left w:val="single" w:sz="4" w:space="0" w:color="auto"/>
              <w:bottom w:val="nil"/>
              <w:right w:val="single" w:sz="4" w:space="0" w:color="auto"/>
            </w:tcBorders>
            <w:shd w:val="clear" w:color="000000" w:fill="FFFFFF"/>
            <w:vAlign w:val="center"/>
            <w:hideMark/>
          </w:tcPr>
          <w:p w14:paraId="77EB53B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vMerge w:val="restart"/>
            <w:tcBorders>
              <w:top w:val="single" w:sz="4" w:space="0" w:color="auto"/>
              <w:left w:val="single" w:sz="4" w:space="0" w:color="auto"/>
              <w:bottom w:val="single" w:sz="4" w:space="0" w:color="000000"/>
              <w:right w:val="single" w:sz="12" w:space="0" w:color="auto"/>
            </w:tcBorders>
            <w:shd w:val="clear" w:color="000000" w:fill="FFFFFF"/>
            <w:vAlign w:val="center"/>
            <w:hideMark/>
          </w:tcPr>
          <w:p w14:paraId="19F733A1"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r>
      <w:tr w:rsidR="00AC010F" w:rsidRPr="000A7FD1" w14:paraId="777FABC0" w14:textId="77777777" w:rsidTr="00D71ED5">
        <w:tblPrEx>
          <w:tblBorders>
            <w:top w:val="none" w:sz="0" w:space="0" w:color="auto"/>
            <w:left w:val="none" w:sz="0" w:space="0" w:color="auto"/>
            <w:bottom w:val="none" w:sz="0" w:space="0" w:color="auto"/>
            <w:right w:val="none" w:sz="0" w:space="0" w:color="auto"/>
          </w:tblBorders>
        </w:tblPrEx>
        <w:trPr>
          <w:trHeight w:val="705"/>
        </w:trPr>
        <w:tc>
          <w:tcPr>
            <w:tcW w:w="410" w:type="pct"/>
            <w:vMerge/>
            <w:tcBorders>
              <w:top w:val="single" w:sz="4" w:space="0" w:color="000000"/>
              <w:left w:val="single" w:sz="12" w:space="0" w:color="auto"/>
              <w:bottom w:val="single" w:sz="8" w:space="0" w:color="auto"/>
              <w:right w:val="single" w:sz="4" w:space="0" w:color="auto"/>
            </w:tcBorders>
            <w:vAlign w:val="center"/>
            <w:hideMark/>
          </w:tcPr>
          <w:p w14:paraId="5F354C51"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tcBorders>
              <w:top w:val="nil"/>
              <w:left w:val="single" w:sz="4" w:space="0" w:color="auto"/>
              <w:bottom w:val="single" w:sz="4" w:space="0" w:color="000000"/>
              <w:right w:val="nil"/>
            </w:tcBorders>
            <w:vAlign w:val="center"/>
            <w:hideMark/>
          </w:tcPr>
          <w:p w14:paraId="1ABD9BF7" w14:textId="77777777" w:rsidR="00AC4220" w:rsidRPr="000A7FD1" w:rsidRDefault="00AC4220" w:rsidP="00AC4220">
            <w:pPr>
              <w:widowControl/>
              <w:adjustRightInd/>
              <w:spacing w:before="0" w:after="0"/>
              <w:textAlignment w:val="auto"/>
              <w:rPr>
                <w:rFonts w:cs="Arial"/>
                <w:color w:val="000000"/>
                <w:sz w:val="18"/>
                <w:szCs w:val="18"/>
              </w:rPr>
            </w:pPr>
          </w:p>
        </w:tc>
        <w:tc>
          <w:tcPr>
            <w:tcW w:w="349" w:type="pct"/>
            <w:gridSpan w:val="2"/>
            <w:tcBorders>
              <w:top w:val="nil"/>
              <w:left w:val="single" w:sz="8" w:space="0" w:color="auto"/>
              <w:bottom w:val="single" w:sz="4" w:space="0" w:color="auto"/>
              <w:right w:val="single" w:sz="4" w:space="0" w:color="auto"/>
            </w:tcBorders>
            <w:shd w:val="clear" w:color="000000" w:fill="FFFFFF"/>
            <w:noWrap/>
            <w:hideMark/>
          </w:tcPr>
          <w:p w14:paraId="771512B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79" w:type="pct"/>
            <w:tcBorders>
              <w:top w:val="nil"/>
              <w:left w:val="nil"/>
              <w:bottom w:val="single" w:sz="4" w:space="0" w:color="auto"/>
              <w:right w:val="single" w:sz="4" w:space="0" w:color="auto"/>
            </w:tcBorders>
            <w:shd w:val="clear" w:color="auto" w:fill="auto"/>
            <w:hideMark/>
          </w:tcPr>
          <w:p w14:paraId="7E7BFB5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1" w:type="pct"/>
            <w:gridSpan w:val="3"/>
            <w:tcBorders>
              <w:top w:val="nil"/>
              <w:left w:val="nil"/>
              <w:bottom w:val="single" w:sz="4" w:space="0" w:color="auto"/>
              <w:right w:val="single" w:sz="8" w:space="0" w:color="auto"/>
            </w:tcBorders>
            <w:shd w:val="clear" w:color="auto" w:fill="auto"/>
            <w:hideMark/>
          </w:tcPr>
          <w:p w14:paraId="7565A14D"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 w:type="pct"/>
            <w:tcBorders>
              <w:top w:val="nil"/>
              <w:left w:val="nil"/>
              <w:bottom w:val="single" w:sz="4" w:space="0" w:color="auto"/>
              <w:right w:val="nil"/>
            </w:tcBorders>
            <w:shd w:val="clear" w:color="000000" w:fill="000000"/>
            <w:hideMark/>
          </w:tcPr>
          <w:p w14:paraId="56E9F47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6" w:type="pct"/>
            <w:gridSpan w:val="4"/>
            <w:vMerge/>
            <w:tcBorders>
              <w:top w:val="nil"/>
              <w:left w:val="single" w:sz="8" w:space="0" w:color="auto"/>
              <w:bottom w:val="single" w:sz="4" w:space="0" w:color="000000"/>
              <w:right w:val="single" w:sz="4" w:space="0" w:color="auto"/>
            </w:tcBorders>
            <w:vAlign w:val="center"/>
            <w:hideMark/>
          </w:tcPr>
          <w:p w14:paraId="68537B6C" w14:textId="77777777" w:rsidR="00AC4220" w:rsidRPr="000A7FD1" w:rsidRDefault="00AC4220" w:rsidP="00AC4220">
            <w:pPr>
              <w:widowControl/>
              <w:adjustRightInd/>
              <w:spacing w:before="0" w:after="0"/>
              <w:textAlignment w:val="auto"/>
              <w:rPr>
                <w:rFonts w:cs="Arial"/>
                <w:color w:val="000000"/>
                <w:sz w:val="18"/>
                <w:szCs w:val="18"/>
              </w:rPr>
            </w:pPr>
          </w:p>
        </w:tc>
        <w:tc>
          <w:tcPr>
            <w:tcW w:w="243" w:type="pct"/>
            <w:tcBorders>
              <w:top w:val="nil"/>
              <w:left w:val="nil"/>
              <w:bottom w:val="single" w:sz="4" w:space="0" w:color="auto"/>
              <w:right w:val="nil"/>
            </w:tcBorders>
            <w:shd w:val="clear" w:color="000000" w:fill="FFFFFF"/>
            <w:vAlign w:val="center"/>
            <w:hideMark/>
          </w:tcPr>
          <w:p w14:paraId="65B2DF69"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nil"/>
              <w:left w:val="single" w:sz="4" w:space="0" w:color="auto"/>
              <w:bottom w:val="single" w:sz="4" w:space="0" w:color="auto"/>
              <w:right w:val="single" w:sz="8" w:space="0" w:color="auto"/>
            </w:tcBorders>
            <w:shd w:val="clear" w:color="000000" w:fill="FFFFFF"/>
            <w:noWrap/>
            <w:vAlign w:val="center"/>
            <w:hideMark/>
          </w:tcPr>
          <w:p w14:paraId="1A319EAE"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nil"/>
              <w:left w:val="nil"/>
              <w:bottom w:val="single" w:sz="4" w:space="0" w:color="auto"/>
              <w:right w:val="nil"/>
            </w:tcBorders>
            <w:shd w:val="clear" w:color="000000" w:fill="FFFFFF"/>
            <w:noWrap/>
            <w:vAlign w:val="center"/>
            <w:hideMark/>
          </w:tcPr>
          <w:p w14:paraId="7CA1436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nil"/>
              <w:left w:val="single" w:sz="4" w:space="0" w:color="auto"/>
              <w:bottom w:val="single" w:sz="4" w:space="0" w:color="auto"/>
              <w:right w:val="single" w:sz="8" w:space="0" w:color="auto"/>
            </w:tcBorders>
            <w:shd w:val="clear" w:color="000000" w:fill="FFFFFF"/>
            <w:noWrap/>
            <w:vAlign w:val="center"/>
            <w:hideMark/>
          </w:tcPr>
          <w:p w14:paraId="51A3266C"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nil"/>
              <w:left w:val="nil"/>
              <w:bottom w:val="single" w:sz="4" w:space="0" w:color="auto"/>
              <w:right w:val="nil"/>
            </w:tcBorders>
            <w:shd w:val="clear" w:color="000000" w:fill="FFFFFF"/>
            <w:noWrap/>
            <w:vAlign w:val="center"/>
            <w:hideMark/>
          </w:tcPr>
          <w:p w14:paraId="7B05E80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nil"/>
              <w:left w:val="single" w:sz="4" w:space="0" w:color="auto"/>
              <w:bottom w:val="single" w:sz="4" w:space="0" w:color="auto"/>
              <w:right w:val="nil"/>
            </w:tcBorders>
            <w:shd w:val="clear" w:color="000000" w:fill="FFFFFF"/>
            <w:noWrap/>
            <w:vAlign w:val="center"/>
            <w:hideMark/>
          </w:tcPr>
          <w:p w14:paraId="2CA26859"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nil"/>
              <w:left w:val="single" w:sz="4" w:space="0" w:color="auto"/>
              <w:bottom w:val="single" w:sz="4" w:space="0" w:color="auto"/>
              <w:right w:val="single" w:sz="4" w:space="0" w:color="auto"/>
            </w:tcBorders>
            <w:shd w:val="clear" w:color="000000" w:fill="FFFFFF"/>
            <w:vAlign w:val="center"/>
            <w:hideMark/>
          </w:tcPr>
          <w:p w14:paraId="6D89ED14"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vMerge/>
            <w:tcBorders>
              <w:top w:val="single" w:sz="4" w:space="0" w:color="auto"/>
              <w:left w:val="single" w:sz="4" w:space="0" w:color="auto"/>
              <w:bottom w:val="single" w:sz="4" w:space="0" w:color="000000"/>
              <w:right w:val="single" w:sz="12" w:space="0" w:color="auto"/>
            </w:tcBorders>
            <w:vAlign w:val="center"/>
            <w:hideMark/>
          </w:tcPr>
          <w:p w14:paraId="5F5914CB" w14:textId="77777777" w:rsidR="00AC4220" w:rsidRPr="000A7FD1" w:rsidRDefault="00AC4220" w:rsidP="00AC4220">
            <w:pPr>
              <w:widowControl/>
              <w:adjustRightInd/>
              <w:spacing w:before="0" w:after="0"/>
              <w:textAlignment w:val="auto"/>
              <w:rPr>
                <w:rFonts w:cs="Arial"/>
                <w:color w:val="000000"/>
                <w:sz w:val="18"/>
                <w:szCs w:val="18"/>
              </w:rPr>
            </w:pPr>
          </w:p>
        </w:tc>
      </w:tr>
      <w:tr w:rsidR="00AC010F" w:rsidRPr="000A7FD1" w14:paraId="7C53C525" w14:textId="77777777" w:rsidTr="00D71ED5">
        <w:tblPrEx>
          <w:tblBorders>
            <w:top w:val="none" w:sz="0" w:space="0" w:color="auto"/>
            <w:left w:val="none" w:sz="0" w:space="0" w:color="auto"/>
            <w:bottom w:val="none" w:sz="0" w:space="0" w:color="auto"/>
            <w:right w:val="none" w:sz="0" w:space="0" w:color="auto"/>
          </w:tblBorders>
        </w:tblPrEx>
        <w:trPr>
          <w:trHeight w:val="701"/>
        </w:trPr>
        <w:tc>
          <w:tcPr>
            <w:tcW w:w="410" w:type="pct"/>
            <w:vMerge/>
            <w:tcBorders>
              <w:top w:val="single" w:sz="4" w:space="0" w:color="000000"/>
              <w:left w:val="single" w:sz="12" w:space="0" w:color="auto"/>
              <w:bottom w:val="single" w:sz="8" w:space="0" w:color="auto"/>
              <w:right w:val="single" w:sz="4" w:space="0" w:color="auto"/>
            </w:tcBorders>
            <w:vAlign w:val="center"/>
            <w:hideMark/>
          </w:tcPr>
          <w:p w14:paraId="77ECD630"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val="restart"/>
            <w:tcBorders>
              <w:top w:val="nil"/>
              <w:left w:val="single" w:sz="4" w:space="0" w:color="auto"/>
              <w:bottom w:val="single" w:sz="4" w:space="0" w:color="000000"/>
              <w:right w:val="nil"/>
            </w:tcBorders>
            <w:shd w:val="clear" w:color="auto" w:fill="auto"/>
            <w:hideMark/>
          </w:tcPr>
          <w:p w14:paraId="4968D24B"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u w:val="single"/>
              </w:rPr>
              <w:t>Cutoff</w:t>
            </w:r>
            <w:r w:rsidRPr="000A7FD1">
              <w:rPr>
                <w:rFonts w:cs="Arial"/>
                <w:color w:val="000000"/>
                <w:sz w:val="18"/>
                <w:szCs w:val="18"/>
              </w:rPr>
              <w:t>:</w:t>
            </w:r>
            <w:r w:rsidRPr="000A7FD1">
              <w:rPr>
                <w:rFonts w:cs="Arial"/>
                <w:color w:val="000000"/>
                <w:sz w:val="18"/>
                <w:szCs w:val="18"/>
              </w:rPr>
              <w:br/>
              <w:t>6. Transactions and events occurred in the current period but are recorded in a different period.</w:t>
            </w:r>
          </w:p>
          <w:p w14:paraId="7DACE291" w14:textId="77777777" w:rsidR="00C35877" w:rsidRPr="000A7FD1" w:rsidRDefault="00C35877" w:rsidP="00AC4220">
            <w:pPr>
              <w:widowControl/>
              <w:adjustRightInd/>
              <w:spacing w:before="0" w:after="0"/>
              <w:textAlignment w:val="auto"/>
              <w:rPr>
                <w:rFonts w:cs="Arial"/>
                <w:color w:val="000000"/>
                <w:sz w:val="18"/>
                <w:szCs w:val="18"/>
              </w:rPr>
            </w:pPr>
          </w:p>
          <w:p w14:paraId="53E1EFF0" w14:textId="77777777" w:rsidR="00C35877" w:rsidRPr="000A7FD1" w:rsidRDefault="00C35877" w:rsidP="00AC4220">
            <w:pPr>
              <w:widowControl/>
              <w:adjustRightInd/>
              <w:spacing w:before="0" w:after="0"/>
              <w:textAlignment w:val="auto"/>
              <w:rPr>
                <w:rFonts w:cs="Arial"/>
                <w:color w:val="000000"/>
                <w:sz w:val="18"/>
                <w:szCs w:val="18"/>
              </w:rPr>
            </w:pPr>
          </w:p>
        </w:tc>
        <w:tc>
          <w:tcPr>
            <w:tcW w:w="349" w:type="pct"/>
            <w:gridSpan w:val="2"/>
            <w:tcBorders>
              <w:top w:val="nil"/>
              <w:left w:val="single" w:sz="8" w:space="0" w:color="auto"/>
              <w:bottom w:val="single" w:sz="4" w:space="0" w:color="auto"/>
              <w:right w:val="single" w:sz="4" w:space="0" w:color="auto"/>
            </w:tcBorders>
            <w:shd w:val="clear" w:color="000000" w:fill="FFFFFF"/>
            <w:noWrap/>
            <w:hideMark/>
          </w:tcPr>
          <w:p w14:paraId="1DBEB7CF"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79" w:type="pct"/>
            <w:tcBorders>
              <w:top w:val="nil"/>
              <w:left w:val="nil"/>
              <w:bottom w:val="single" w:sz="4" w:space="0" w:color="auto"/>
              <w:right w:val="single" w:sz="4" w:space="0" w:color="auto"/>
            </w:tcBorders>
            <w:shd w:val="clear" w:color="auto" w:fill="auto"/>
            <w:hideMark/>
          </w:tcPr>
          <w:p w14:paraId="389E501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1" w:type="pct"/>
            <w:gridSpan w:val="3"/>
            <w:tcBorders>
              <w:top w:val="nil"/>
              <w:left w:val="nil"/>
              <w:bottom w:val="single" w:sz="4" w:space="0" w:color="auto"/>
              <w:right w:val="single" w:sz="8" w:space="0" w:color="auto"/>
            </w:tcBorders>
            <w:shd w:val="clear" w:color="auto" w:fill="auto"/>
            <w:hideMark/>
          </w:tcPr>
          <w:p w14:paraId="2C72B482"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 w:type="pct"/>
            <w:tcBorders>
              <w:top w:val="nil"/>
              <w:left w:val="nil"/>
              <w:bottom w:val="nil"/>
              <w:right w:val="nil"/>
            </w:tcBorders>
            <w:shd w:val="clear" w:color="000000" w:fill="000000"/>
            <w:hideMark/>
          </w:tcPr>
          <w:p w14:paraId="47839D44"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6" w:type="pct"/>
            <w:gridSpan w:val="4"/>
            <w:vMerge w:val="restart"/>
            <w:tcBorders>
              <w:top w:val="nil"/>
              <w:left w:val="single" w:sz="8" w:space="0" w:color="auto"/>
              <w:bottom w:val="single" w:sz="4" w:space="0" w:color="000000"/>
              <w:right w:val="single" w:sz="4" w:space="0" w:color="auto"/>
            </w:tcBorders>
            <w:shd w:val="clear" w:color="000000" w:fill="FFFFFF"/>
            <w:hideMark/>
          </w:tcPr>
          <w:p w14:paraId="1F3522D4"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6. All transactions and events that occurred in the current period are recorded in the current period.</w:t>
            </w:r>
          </w:p>
        </w:tc>
        <w:tc>
          <w:tcPr>
            <w:tcW w:w="243" w:type="pct"/>
            <w:tcBorders>
              <w:top w:val="nil"/>
              <w:left w:val="nil"/>
              <w:bottom w:val="nil"/>
              <w:right w:val="nil"/>
            </w:tcBorders>
            <w:shd w:val="clear" w:color="000000" w:fill="FFFFFF"/>
            <w:vAlign w:val="center"/>
            <w:hideMark/>
          </w:tcPr>
          <w:p w14:paraId="5485F2C9"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nil"/>
              <w:left w:val="single" w:sz="4" w:space="0" w:color="auto"/>
              <w:bottom w:val="nil"/>
              <w:right w:val="single" w:sz="8" w:space="0" w:color="auto"/>
            </w:tcBorders>
            <w:shd w:val="clear" w:color="000000" w:fill="FFFFFF"/>
            <w:noWrap/>
            <w:vAlign w:val="center"/>
            <w:hideMark/>
          </w:tcPr>
          <w:p w14:paraId="31BFE5B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nil"/>
              <w:left w:val="nil"/>
              <w:bottom w:val="nil"/>
              <w:right w:val="nil"/>
            </w:tcBorders>
            <w:shd w:val="clear" w:color="000000" w:fill="FFFFFF"/>
            <w:noWrap/>
            <w:vAlign w:val="center"/>
            <w:hideMark/>
          </w:tcPr>
          <w:p w14:paraId="29DC1EAE"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nil"/>
              <w:left w:val="single" w:sz="4" w:space="0" w:color="auto"/>
              <w:bottom w:val="nil"/>
              <w:right w:val="single" w:sz="8" w:space="0" w:color="auto"/>
            </w:tcBorders>
            <w:shd w:val="clear" w:color="000000" w:fill="FFFFFF"/>
            <w:noWrap/>
            <w:vAlign w:val="center"/>
            <w:hideMark/>
          </w:tcPr>
          <w:p w14:paraId="7C91CF7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nil"/>
              <w:left w:val="nil"/>
              <w:bottom w:val="nil"/>
              <w:right w:val="nil"/>
            </w:tcBorders>
            <w:shd w:val="clear" w:color="000000" w:fill="FFFFFF"/>
            <w:noWrap/>
            <w:vAlign w:val="center"/>
            <w:hideMark/>
          </w:tcPr>
          <w:p w14:paraId="00D0719B"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nil"/>
              <w:left w:val="single" w:sz="4" w:space="0" w:color="auto"/>
              <w:bottom w:val="nil"/>
              <w:right w:val="nil"/>
            </w:tcBorders>
            <w:shd w:val="clear" w:color="000000" w:fill="FFFFFF"/>
            <w:noWrap/>
            <w:vAlign w:val="center"/>
            <w:hideMark/>
          </w:tcPr>
          <w:p w14:paraId="57A3007A"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nil"/>
              <w:left w:val="single" w:sz="4" w:space="0" w:color="auto"/>
              <w:bottom w:val="nil"/>
              <w:right w:val="single" w:sz="4" w:space="0" w:color="auto"/>
            </w:tcBorders>
            <w:shd w:val="clear" w:color="000000" w:fill="FFFFFF"/>
            <w:vAlign w:val="center"/>
            <w:hideMark/>
          </w:tcPr>
          <w:p w14:paraId="235638DE"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vMerge w:val="restart"/>
            <w:tcBorders>
              <w:top w:val="nil"/>
              <w:left w:val="single" w:sz="4" w:space="0" w:color="auto"/>
              <w:bottom w:val="single" w:sz="4" w:space="0" w:color="000000"/>
              <w:right w:val="single" w:sz="12" w:space="0" w:color="auto"/>
            </w:tcBorders>
            <w:shd w:val="clear" w:color="000000" w:fill="FFFFFF"/>
            <w:vAlign w:val="center"/>
            <w:hideMark/>
          </w:tcPr>
          <w:p w14:paraId="3DD054D8"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r>
      <w:tr w:rsidR="00AC010F" w:rsidRPr="000A7FD1" w14:paraId="17B51FE8" w14:textId="77777777" w:rsidTr="00D71ED5">
        <w:tblPrEx>
          <w:tblBorders>
            <w:top w:val="none" w:sz="0" w:space="0" w:color="auto"/>
            <w:left w:val="none" w:sz="0" w:space="0" w:color="auto"/>
            <w:bottom w:val="none" w:sz="0" w:space="0" w:color="auto"/>
            <w:right w:val="none" w:sz="0" w:space="0" w:color="auto"/>
          </w:tblBorders>
        </w:tblPrEx>
        <w:trPr>
          <w:trHeight w:val="413"/>
        </w:trPr>
        <w:tc>
          <w:tcPr>
            <w:tcW w:w="410" w:type="pct"/>
            <w:vMerge/>
            <w:tcBorders>
              <w:top w:val="single" w:sz="4" w:space="0" w:color="000000"/>
              <w:left w:val="single" w:sz="12" w:space="0" w:color="auto"/>
              <w:bottom w:val="single" w:sz="8" w:space="0" w:color="auto"/>
              <w:right w:val="single" w:sz="4" w:space="0" w:color="auto"/>
            </w:tcBorders>
            <w:vAlign w:val="center"/>
            <w:hideMark/>
          </w:tcPr>
          <w:p w14:paraId="34BF251D"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tcBorders>
              <w:top w:val="nil"/>
              <w:left w:val="single" w:sz="4" w:space="0" w:color="auto"/>
              <w:bottom w:val="single" w:sz="8" w:space="0" w:color="auto"/>
              <w:right w:val="nil"/>
            </w:tcBorders>
            <w:vAlign w:val="center"/>
            <w:hideMark/>
          </w:tcPr>
          <w:p w14:paraId="23FF8900" w14:textId="77777777" w:rsidR="00AC4220" w:rsidRPr="000A7FD1" w:rsidRDefault="00AC4220" w:rsidP="00AC4220">
            <w:pPr>
              <w:widowControl/>
              <w:adjustRightInd/>
              <w:spacing w:before="0" w:after="0"/>
              <w:textAlignment w:val="auto"/>
              <w:rPr>
                <w:rFonts w:cs="Arial"/>
                <w:color w:val="000000"/>
                <w:sz w:val="18"/>
                <w:szCs w:val="18"/>
              </w:rPr>
            </w:pPr>
          </w:p>
        </w:tc>
        <w:tc>
          <w:tcPr>
            <w:tcW w:w="349" w:type="pct"/>
            <w:gridSpan w:val="2"/>
            <w:tcBorders>
              <w:top w:val="nil"/>
              <w:left w:val="single" w:sz="8" w:space="0" w:color="auto"/>
              <w:bottom w:val="single" w:sz="8" w:space="0" w:color="auto"/>
              <w:right w:val="single" w:sz="4" w:space="0" w:color="auto"/>
            </w:tcBorders>
            <w:shd w:val="clear" w:color="000000" w:fill="FFFFFF"/>
            <w:noWrap/>
            <w:hideMark/>
          </w:tcPr>
          <w:p w14:paraId="1D379912"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79" w:type="pct"/>
            <w:tcBorders>
              <w:top w:val="nil"/>
              <w:left w:val="nil"/>
              <w:bottom w:val="single" w:sz="8" w:space="0" w:color="auto"/>
              <w:right w:val="single" w:sz="4" w:space="0" w:color="auto"/>
            </w:tcBorders>
            <w:shd w:val="clear" w:color="auto" w:fill="auto"/>
            <w:hideMark/>
          </w:tcPr>
          <w:p w14:paraId="78F819BB"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1" w:type="pct"/>
            <w:gridSpan w:val="3"/>
            <w:tcBorders>
              <w:top w:val="nil"/>
              <w:left w:val="nil"/>
              <w:bottom w:val="single" w:sz="8" w:space="0" w:color="auto"/>
              <w:right w:val="single" w:sz="8" w:space="0" w:color="auto"/>
            </w:tcBorders>
            <w:shd w:val="clear" w:color="auto" w:fill="auto"/>
            <w:hideMark/>
          </w:tcPr>
          <w:p w14:paraId="6100251A"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 w:type="pct"/>
            <w:tcBorders>
              <w:top w:val="nil"/>
              <w:left w:val="nil"/>
              <w:bottom w:val="single" w:sz="8" w:space="0" w:color="auto"/>
              <w:right w:val="nil"/>
            </w:tcBorders>
            <w:shd w:val="clear" w:color="000000" w:fill="000000"/>
            <w:hideMark/>
          </w:tcPr>
          <w:p w14:paraId="5D9C2E2F"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6" w:type="pct"/>
            <w:gridSpan w:val="4"/>
            <w:vMerge/>
            <w:tcBorders>
              <w:top w:val="nil"/>
              <w:left w:val="single" w:sz="8" w:space="0" w:color="auto"/>
              <w:bottom w:val="single" w:sz="8" w:space="0" w:color="auto"/>
              <w:right w:val="single" w:sz="4" w:space="0" w:color="auto"/>
            </w:tcBorders>
            <w:vAlign w:val="center"/>
            <w:hideMark/>
          </w:tcPr>
          <w:p w14:paraId="4BA4B5D0" w14:textId="77777777" w:rsidR="00AC4220" w:rsidRPr="000A7FD1" w:rsidRDefault="00AC4220" w:rsidP="00AC4220">
            <w:pPr>
              <w:widowControl/>
              <w:adjustRightInd/>
              <w:spacing w:before="0" w:after="0"/>
              <w:textAlignment w:val="auto"/>
              <w:rPr>
                <w:rFonts w:cs="Arial"/>
                <w:color w:val="000000"/>
                <w:sz w:val="18"/>
                <w:szCs w:val="18"/>
              </w:rPr>
            </w:pPr>
          </w:p>
        </w:tc>
        <w:tc>
          <w:tcPr>
            <w:tcW w:w="243" w:type="pct"/>
            <w:tcBorders>
              <w:top w:val="nil"/>
              <w:left w:val="nil"/>
              <w:bottom w:val="single" w:sz="8" w:space="0" w:color="auto"/>
              <w:right w:val="nil"/>
            </w:tcBorders>
            <w:shd w:val="clear" w:color="000000" w:fill="FFFFFF"/>
            <w:vAlign w:val="center"/>
            <w:hideMark/>
          </w:tcPr>
          <w:p w14:paraId="08DFC64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nil"/>
              <w:left w:val="single" w:sz="4" w:space="0" w:color="auto"/>
              <w:bottom w:val="single" w:sz="8" w:space="0" w:color="auto"/>
              <w:right w:val="single" w:sz="8" w:space="0" w:color="auto"/>
            </w:tcBorders>
            <w:shd w:val="clear" w:color="000000" w:fill="FFFFFF"/>
            <w:noWrap/>
            <w:vAlign w:val="center"/>
            <w:hideMark/>
          </w:tcPr>
          <w:p w14:paraId="0BC56F5A"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nil"/>
              <w:left w:val="nil"/>
              <w:bottom w:val="single" w:sz="8" w:space="0" w:color="auto"/>
              <w:right w:val="nil"/>
            </w:tcBorders>
            <w:shd w:val="clear" w:color="000000" w:fill="FFFFFF"/>
            <w:noWrap/>
            <w:vAlign w:val="center"/>
            <w:hideMark/>
          </w:tcPr>
          <w:p w14:paraId="304D8AF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nil"/>
              <w:left w:val="single" w:sz="4" w:space="0" w:color="auto"/>
              <w:bottom w:val="single" w:sz="8" w:space="0" w:color="auto"/>
              <w:right w:val="single" w:sz="8" w:space="0" w:color="auto"/>
            </w:tcBorders>
            <w:shd w:val="clear" w:color="000000" w:fill="FFFFFF"/>
            <w:noWrap/>
            <w:vAlign w:val="center"/>
            <w:hideMark/>
          </w:tcPr>
          <w:p w14:paraId="29D8F33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nil"/>
              <w:left w:val="nil"/>
              <w:bottom w:val="single" w:sz="8" w:space="0" w:color="auto"/>
              <w:right w:val="nil"/>
            </w:tcBorders>
            <w:shd w:val="clear" w:color="000000" w:fill="FFFFFF"/>
            <w:noWrap/>
            <w:vAlign w:val="center"/>
            <w:hideMark/>
          </w:tcPr>
          <w:p w14:paraId="02F70B0E"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nil"/>
              <w:left w:val="single" w:sz="4" w:space="0" w:color="auto"/>
              <w:bottom w:val="single" w:sz="8" w:space="0" w:color="auto"/>
              <w:right w:val="nil"/>
            </w:tcBorders>
            <w:shd w:val="clear" w:color="000000" w:fill="FFFFFF"/>
            <w:noWrap/>
            <w:vAlign w:val="center"/>
            <w:hideMark/>
          </w:tcPr>
          <w:p w14:paraId="5A6FC08C"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nil"/>
              <w:left w:val="single" w:sz="4" w:space="0" w:color="auto"/>
              <w:bottom w:val="single" w:sz="8" w:space="0" w:color="auto"/>
              <w:right w:val="single" w:sz="4" w:space="0" w:color="auto"/>
            </w:tcBorders>
            <w:shd w:val="clear" w:color="000000" w:fill="FFFFFF"/>
            <w:vAlign w:val="center"/>
            <w:hideMark/>
          </w:tcPr>
          <w:p w14:paraId="0C3A9800"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vMerge/>
            <w:tcBorders>
              <w:top w:val="nil"/>
              <w:left w:val="single" w:sz="4" w:space="0" w:color="auto"/>
              <w:bottom w:val="single" w:sz="8" w:space="0" w:color="auto"/>
              <w:right w:val="single" w:sz="12" w:space="0" w:color="auto"/>
            </w:tcBorders>
            <w:vAlign w:val="center"/>
            <w:hideMark/>
          </w:tcPr>
          <w:p w14:paraId="3EE5FA03" w14:textId="77777777" w:rsidR="00AC4220" w:rsidRPr="000A7FD1" w:rsidRDefault="00AC4220" w:rsidP="00AC4220">
            <w:pPr>
              <w:widowControl/>
              <w:adjustRightInd/>
              <w:spacing w:before="0" w:after="0"/>
              <w:textAlignment w:val="auto"/>
              <w:rPr>
                <w:rFonts w:cs="Arial"/>
                <w:color w:val="000000"/>
                <w:sz w:val="18"/>
                <w:szCs w:val="18"/>
              </w:rPr>
            </w:pPr>
          </w:p>
        </w:tc>
      </w:tr>
      <w:tr w:rsidR="00AC010F" w:rsidRPr="000A7FD1" w14:paraId="5C85A698" w14:textId="77777777" w:rsidTr="00D71ED5">
        <w:tblPrEx>
          <w:tblBorders>
            <w:top w:val="none" w:sz="0" w:space="0" w:color="auto"/>
            <w:left w:val="none" w:sz="0" w:space="0" w:color="auto"/>
            <w:bottom w:val="none" w:sz="0" w:space="0" w:color="auto"/>
            <w:right w:val="none" w:sz="0" w:space="0" w:color="auto"/>
          </w:tblBorders>
        </w:tblPrEx>
        <w:trPr>
          <w:trHeight w:val="765"/>
        </w:trPr>
        <w:tc>
          <w:tcPr>
            <w:tcW w:w="410" w:type="pct"/>
            <w:vMerge/>
            <w:tcBorders>
              <w:top w:val="single" w:sz="4" w:space="0" w:color="000000"/>
              <w:left w:val="single" w:sz="12" w:space="0" w:color="auto"/>
              <w:bottom w:val="single" w:sz="8" w:space="0" w:color="auto"/>
              <w:right w:val="single" w:sz="4" w:space="0" w:color="auto"/>
            </w:tcBorders>
            <w:vAlign w:val="center"/>
            <w:hideMark/>
          </w:tcPr>
          <w:p w14:paraId="1A95C074"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val="restart"/>
            <w:tcBorders>
              <w:top w:val="single" w:sz="8" w:space="0" w:color="auto"/>
              <w:left w:val="single" w:sz="4" w:space="0" w:color="auto"/>
              <w:bottom w:val="single" w:sz="4" w:space="0" w:color="000000"/>
              <w:right w:val="nil"/>
            </w:tcBorders>
            <w:shd w:val="clear" w:color="auto" w:fill="auto"/>
            <w:hideMark/>
          </w:tcPr>
          <w:p w14:paraId="7E04EC5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u w:val="single"/>
              </w:rPr>
              <w:t>Summarization</w:t>
            </w:r>
            <w:r w:rsidRPr="000A7FD1">
              <w:rPr>
                <w:rFonts w:cs="Arial"/>
                <w:color w:val="000000"/>
                <w:sz w:val="18"/>
                <w:szCs w:val="18"/>
              </w:rPr>
              <w:t>:</w:t>
            </w:r>
            <w:r w:rsidRPr="000A7FD1">
              <w:rPr>
                <w:rFonts w:cs="Arial"/>
                <w:color w:val="000000"/>
                <w:sz w:val="18"/>
                <w:szCs w:val="18"/>
              </w:rPr>
              <w:br/>
              <w:t>7. Transactions are summarized improperly, resulting in an understated total.</w:t>
            </w:r>
          </w:p>
        </w:tc>
        <w:tc>
          <w:tcPr>
            <w:tcW w:w="349" w:type="pct"/>
            <w:gridSpan w:val="2"/>
            <w:tcBorders>
              <w:top w:val="single" w:sz="8" w:space="0" w:color="auto"/>
              <w:left w:val="single" w:sz="8" w:space="0" w:color="auto"/>
              <w:bottom w:val="single" w:sz="4" w:space="0" w:color="auto"/>
              <w:right w:val="single" w:sz="4" w:space="0" w:color="auto"/>
            </w:tcBorders>
            <w:shd w:val="clear" w:color="000000" w:fill="FFFFFF"/>
            <w:noWrap/>
            <w:hideMark/>
          </w:tcPr>
          <w:p w14:paraId="1DEAD8E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79" w:type="pct"/>
            <w:tcBorders>
              <w:top w:val="single" w:sz="8" w:space="0" w:color="auto"/>
              <w:left w:val="nil"/>
              <w:bottom w:val="single" w:sz="4" w:space="0" w:color="auto"/>
              <w:right w:val="single" w:sz="4" w:space="0" w:color="auto"/>
            </w:tcBorders>
            <w:shd w:val="clear" w:color="auto" w:fill="auto"/>
            <w:hideMark/>
          </w:tcPr>
          <w:p w14:paraId="558F40E0"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1" w:type="pct"/>
            <w:gridSpan w:val="3"/>
            <w:tcBorders>
              <w:top w:val="single" w:sz="8" w:space="0" w:color="auto"/>
              <w:left w:val="nil"/>
              <w:bottom w:val="single" w:sz="4" w:space="0" w:color="auto"/>
              <w:right w:val="single" w:sz="8" w:space="0" w:color="auto"/>
            </w:tcBorders>
            <w:shd w:val="clear" w:color="auto" w:fill="auto"/>
            <w:hideMark/>
          </w:tcPr>
          <w:p w14:paraId="73B8A4FE"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 w:type="pct"/>
            <w:tcBorders>
              <w:top w:val="single" w:sz="8" w:space="0" w:color="auto"/>
              <w:left w:val="nil"/>
              <w:bottom w:val="nil"/>
              <w:right w:val="nil"/>
            </w:tcBorders>
            <w:shd w:val="clear" w:color="000000" w:fill="000000"/>
            <w:hideMark/>
          </w:tcPr>
          <w:p w14:paraId="0D9E9964"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6" w:type="pct"/>
            <w:gridSpan w:val="4"/>
            <w:vMerge w:val="restart"/>
            <w:tcBorders>
              <w:top w:val="single" w:sz="8" w:space="0" w:color="auto"/>
              <w:left w:val="single" w:sz="8" w:space="0" w:color="auto"/>
              <w:bottom w:val="single" w:sz="4" w:space="0" w:color="000000"/>
              <w:right w:val="single" w:sz="4" w:space="0" w:color="auto"/>
            </w:tcBorders>
            <w:shd w:val="clear" w:color="000000" w:fill="FFFFFF"/>
            <w:hideMark/>
          </w:tcPr>
          <w:p w14:paraId="186F4136"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7. The summarization of recorded transactions is not understated.</w:t>
            </w:r>
          </w:p>
        </w:tc>
        <w:tc>
          <w:tcPr>
            <w:tcW w:w="243" w:type="pct"/>
            <w:tcBorders>
              <w:top w:val="single" w:sz="8" w:space="0" w:color="auto"/>
              <w:left w:val="nil"/>
              <w:bottom w:val="nil"/>
              <w:right w:val="nil"/>
            </w:tcBorders>
            <w:shd w:val="clear" w:color="000000" w:fill="FFFFFF"/>
            <w:vAlign w:val="center"/>
            <w:hideMark/>
          </w:tcPr>
          <w:p w14:paraId="7F256AB6"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single" w:sz="8" w:space="0" w:color="auto"/>
              <w:left w:val="single" w:sz="4" w:space="0" w:color="auto"/>
              <w:bottom w:val="nil"/>
              <w:right w:val="single" w:sz="8" w:space="0" w:color="auto"/>
            </w:tcBorders>
            <w:shd w:val="clear" w:color="000000" w:fill="FFFFFF"/>
            <w:noWrap/>
            <w:vAlign w:val="center"/>
            <w:hideMark/>
          </w:tcPr>
          <w:p w14:paraId="597BCDDD"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single" w:sz="8" w:space="0" w:color="auto"/>
              <w:left w:val="nil"/>
              <w:bottom w:val="nil"/>
              <w:right w:val="nil"/>
            </w:tcBorders>
            <w:shd w:val="clear" w:color="000000" w:fill="FFFFFF"/>
            <w:noWrap/>
            <w:vAlign w:val="center"/>
            <w:hideMark/>
          </w:tcPr>
          <w:p w14:paraId="7D9579F6"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single" w:sz="8" w:space="0" w:color="auto"/>
              <w:left w:val="single" w:sz="4" w:space="0" w:color="auto"/>
              <w:bottom w:val="nil"/>
              <w:right w:val="single" w:sz="8" w:space="0" w:color="auto"/>
            </w:tcBorders>
            <w:shd w:val="clear" w:color="000000" w:fill="FFFFFF"/>
            <w:noWrap/>
            <w:vAlign w:val="center"/>
            <w:hideMark/>
          </w:tcPr>
          <w:p w14:paraId="6A74DB09"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single" w:sz="8" w:space="0" w:color="auto"/>
              <w:left w:val="nil"/>
              <w:bottom w:val="nil"/>
              <w:right w:val="nil"/>
            </w:tcBorders>
            <w:shd w:val="clear" w:color="000000" w:fill="FFFFFF"/>
            <w:noWrap/>
            <w:vAlign w:val="center"/>
            <w:hideMark/>
          </w:tcPr>
          <w:p w14:paraId="2003CE19"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single" w:sz="8" w:space="0" w:color="auto"/>
              <w:left w:val="single" w:sz="4" w:space="0" w:color="auto"/>
              <w:bottom w:val="nil"/>
              <w:right w:val="nil"/>
            </w:tcBorders>
            <w:shd w:val="clear" w:color="000000" w:fill="FFFFFF"/>
            <w:noWrap/>
            <w:vAlign w:val="center"/>
            <w:hideMark/>
          </w:tcPr>
          <w:p w14:paraId="4D06692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single" w:sz="8" w:space="0" w:color="auto"/>
              <w:left w:val="single" w:sz="4" w:space="0" w:color="auto"/>
              <w:bottom w:val="nil"/>
              <w:right w:val="single" w:sz="4" w:space="0" w:color="auto"/>
            </w:tcBorders>
            <w:shd w:val="clear" w:color="000000" w:fill="FFFFFF"/>
            <w:vAlign w:val="center"/>
            <w:hideMark/>
          </w:tcPr>
          <w:p w14:paraId="09FCCF5E"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vMerge w:val="restart"/>
            <w:tcBorders>
              <w:top w:val="single" w:sz="8" w:space="0" w:color="auto"/>
              <w:left w:val="single" w:sz="4" w:space="0" w:color="auto"/>
              <w:bottom w:val="single" w:sz="4" w:space="0" w:color="000000"/>
              <w:right w:val="single" w:sz="12" w:space="0" w:color="auto"/>
            </w:tcBorders>
            <w:shd w:val="clear" w:color="000000" w:fill="FFFFFF"/>
            <w:vAlign w:val="center"/>
            <w:hideMark/>
          </w:tcPr>
          <w:p w14:paraId="42AC0697"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r>
      <w:tr w:rsidR="00AC010F" w:rsidRPr="000A7FD1" w14:paraId="5D3BD046" w14:textId="77777777" w:rsidTr="00D71ED5">
        <w:tblPrEx>
          <w:tblBorders>
            <w:top w:val="none" w:sz="0" w:space="0" w:color="auto"/>
            <w:left w:val="none" w:sz="0" w:space="0" w:color="auto"/>
            <w:bottom w:val="none" w:sz="0" w:space="0" w:color="auto"/>
            <w:right w:val="none" w:sz="0" w:space="0" w:color="auto"/>
          </w:tblBorders>
        </w:tblPrEx>
        <w:trPr>
          <w:trHeight w:val="675"/>
        </w:trPr>
        <w:tc>
          <w:tcPr>
            <w:tcW w:w="410" w:type="pct"/>
            <w:vMerge/>
            <w:tcBorders>
              <w:top w:val="single" w:sz="4" w:space="0" w:color="000000"/>
              <w:left w:val="single" w:sz="12" w:space="0" w:color="auto"/>
              <w:bottom w:val="single" w:sz="8" w:space="0" w:color="auto"/>
              <w:right w:val="single" w:sz="4" w:space="0" w:color="auto"/>
            </w:tcBorders>
            <w:vAlign w:val="center"/>
            <w:hideMark/>
          </w:tcPr>
          <w:p w14:paraId="0E5509F6"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tcBorders>
              <w:top w:val="nil"/>
              <w:left w:val="single" w:sz="4" w:space="0" w:color="auto"/>
              <w:bottom w:val="single" w:sz="4" w:space="0" w:color="000000"/>
              <w:right w:val="nil"/>
            </w:tcBorders>
            <w:vAlign w:val="center"/>
            <w:hideMark/>
          </w:tcPr>
          <w:p w14:paraId="6F6BD5B1" w14:textId="77777777" w:rsidR="00AC4220" w:rsidRPr="000A7FD1" w:rsidRDefault="00AC4220" w:rsidP="00AC4220">
            <w:pPr>
              <w:widowControl/>
              <w:adjustRightInd/>
              <w:spacing w:before="0" w:after="0"/>
              <w:textAlignment w:val="auto"/>
              <w:rPr>
                <w:rFonts w:cs="Arial"/>
                <w:color w:val="000000"/>
                <w:sz w:val="18"/>
                <w:szCs w:val="18"/>
              </w:rPr>
            </w:pPr>
          </w:p>
        </w:tc>
        <w:tc>
          <w:tcPr>
            <w:tcW w:w="349" w:type="pct"/>
            <w:gridSpan w:val="2"/>
            <w:tcBorders>
              <w:top w:val="nil"/>
              <w:left w:val="single" w:sz="8" w:space="0" w:color="auto"/>
              <w:bottom w:val="single" w:sz="4" w:space="0" w:color="auto"/>
              <w:right w:val="single" w:sz="4" w:space="0" w:color="auto"/>
            </w:tcBorders>
            <w:shd w:val="clear" w:color="000000" w:fill="FFFFFF"/>
            <w:noWrap/>
            <w:hideMark/>
          </w:tcPr>
          <w:p w14:paraId="16F1D16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79" w:type="pct"/>
            <w:tcBorders>
              <w:top w:val="nil"/>
              <w:left w:val="nil"/>
              <w:bottom w:val="single" w:sz="4" w:space="0" w:color="auto"/>
              <w:right w:val="single" w:sz="4" w:space="0" w:color="auto"/>
            </w:tcBorders>
            <w:shd w:val="clear" w:color="auto" w:fill="auto"/>
            <w:hideMark/>
          </w:tcPr>
          <w:p w14:paraId="55FB17AF"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1" w:type="pct"/>
            <w:gridSpan w:val="3"/>
            <w:tcBorders>
              <w:top w:val="nil"/>
              <w:left w:val="nil"/>
              <w:bottom w:val="single" w:sz="4" w:space="0" w:color="auto"/>
              <w:right w:val="single" w:sz="8" w:space="0" w:color="auto"/>
            </w:tcBorders>
            <w:shd w:val="clear" w:color="auto" w:fill="auto"/>
            <w:hideMark/>
          </w:tcPr>
          <w:p w14:paraId="1CC8886A"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 w:type="pct"/>
            <w:tcBorders>
              <w:top w:val="nil"/>
              <w:left w:val="nil"/>
              <w:bottom w:val="single" w:sz="4" w:space="0" w:color="auto"/>
              <w:right w:val="nil"/>
            </w:tcBorders>
            <w:shd w:val="clear" w:color="000000" w:fill="000000"/>
            <w:hideMark/>
          </w:tcPr>
          <w:p w14:paraId="54261D4D"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6" w:type="pct"/>
            <w:gridSpan w:val="4"/>
            <w:vMerge/>
            <w:tcBorders>
              <w:top w:val="nil"/>
              <w:left w:val="single" w:sz="8" w:space="0" w:color="auto"/>
              <w:bottom w:val="single" w:sz="4" w:space="0" w:color="000000"/>
              <w:right w:val="single" w:sz="4" w:space="0" w:color="auto"/>
            </w:tcBorders>
            <w:vAlign w:val="center"/>
            <w:hideMark/>
          </w:tcPr>
          <w:p w14:paraId="553F0829" w14:textId="77777777" w:rsidR="00AC4220" w:rsidRPr="000A7FD1" w:rsidRDefault="00AC4220" w:rsidP="00AC4220">
            <w:pPr>
              <w:widowControl/>
              <w:adjustRightInd/>
              <w:spacing w:before="0" w:after="0"/>
              <w:textAlignment w:val="auto"/>
              <w:rPr>
                <w:rFonts w:cs="Arial"/>
                <w:color w:val="000000"/>
                <w:sz w:val="18"/>
                <w:szCs w:val="18"/>
              </w:rPr>
            </w:pPr>
          </w:p>
        </w:tc>
        <w:tc>
          <w:tcPr>
            <w:tcW w:w="243" w:type="pct"/>
            <w:tcBorders>
              <w:top w:val="nil"/>
              <w:left w:val="nil"/>
              <w:bottom w:val="nil"/>
              <w:right w:val="nil"/>
            </w:tcBorders>
            <w:shd w:val="clear" w:color="000000" w:fill="FFFFFF"/>
            <w:vAlign w:val="center"/>
            <w:hideMark/>
          </w:tcPr>
          <w:p w14:paraId="6E28EA0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nil"/>
              <w:left w:val="single" w:sz="4" w:space="0" w:color="auto"/>
              <w:bottom w:val="nil"/>
              <w:right w:val="single" w:sz="8" w:space="0" w:color="auto"/>
            </w:tcBorders>
            <w:shd w:val="clear" w:color="000000" w:fill="FFFFFF"/>
            <w:noWrap/>
            <w:vAlign w:val="center"/>
            <w:hideMark/>
          </w:tcPr>
          <w:p w14:paraId="32A70648"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nil"/>
              <w:left w:val="nil"/>
              <w:bottom w:val="single" w:sz="4" w:space="0" w:color="auto"/>
              <w:right w:val="single" w:sz="4" w:space="0" w:color="auto"/>
            </w:tcBorders>
            <w:shd w:val="clear" w:color="000000" w:fill="FFFFFF"/>
            <w:noWrap/>
            <w:vAlign w:val="center"/>
            <w:hideMark/>
          </w:tcPr>
          <w:p w14:paraId="4CA8B5D2"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nil"/>
              <w:left w:val="nil"/>
              <w:bottom w:val="nil"/>
              <w:right w:val="single" w:sz="8" w:space="0" w:color="auto"/>
            </w:tcBorders>
            <w:shd w:val="clear" w:color="000000" w:fill="FFFFFF"/>
            <w:noWrap/>
            <w:vAlign w:val="center"/>
            <w:hideMark/>
          </w:tcPr>
          <w:p w14:paraId="7F5425EE"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nil"/>
              <w:left w:val="nil"/>
              <w:bottom w:val="nil"/>
              <w:right w:val="nil"/>
            </w:tcBorders>
            <w:shd w:val="clear" w:color="000000" w:fill="FFFFFF"/>
            <w:noWrap/>
            <w:vAlign w:val="center"/>
            <w:hideMark/>
          </w:tcPr>
          <w:p w14:paraId="5A402A3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nil"/>
              <w:left w:val="single" w:sz="4" w:space="0" w:color="auto"/>
              <w:bottom w:val="nil"/>
              <w:right w:val="nil"/>
            </w:tcBorders>
            <w:shd w:val="clear" w:color="000000" w:fill="FFFFFF"/>
            <w:noWrap/>
            <w:vAlign w:val="center"/>
            <w:hideMark/>
          </w:tcPr>
          <w:p w14:paraId="6A9FC16A"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nil"/>
              <w:left w:val="single" w:sz="4" w:space="0" w:color="auto"/>
              <w:bottom w:val="single" w:sz="4" w:space="0" w:color="auto"/>
              <w:right w:val="single" w:sz="4" w:space="0" w:color="auto"/>
            </w:tcBorders>
            <w:shd w:val="clear" w:color="000000" w:fill="FFFFFF"/>
            <w:vAlign w:val="center"/>
            <w:hideMark/>
          </w:tcPr>
          <w:p w14:paraId="0DCBE60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vMerge/>
            <w:tcBorders>
              <w:top w:val="nil"/>
              <w:left w:val="single" w:sz="4" w:space="0" w:color="auto"/>
              <w:bottom w:val="single" w:sz="4" w:space="0" w:color="000000"/>
              <w:right w:val="single" w:sz="12" w:space="0" w:color="auto"/>
            </w:tcBorders>
            <w:vAlign w:val="center"/>
            <w:hideMark/>
          </w:tcPr>
          <w:p w14:paraId="6243C725" w14:textId="77777777" w:rsidR="00AC4220" w:rsidRPr="000A7FD1" w:rsidRDefault="00AC4220" w:rsidP="00AC4220">
            <w:pPr>
              <w:widowControl/>
              <w:adjustRightInd/>
              <w:spacing w:before="0" w:after="0"/>
              <w:textAlignment w:val="auto"/>
              <w:rPr>
                <w:rFonts w:cs="Arial"/>
                <w:color w:val="000000"/>
                <w:sz w:val="18"/>
                <w:szCs w:val="18"/>
              </w:rPr>
            </w:pPr>
          </w:p>
        </w:tc>
      </w:tr>
      <w:tr w:rsidR="00AC010F" w:rsidRPr="000A7FD1" w14:paraId="1B39D507" w14:textId="77777777" w:rsidTr="00F15268">
        <w:tblPrEx>
          <w:tblBorders>
            <w:top w:val="none" w:sz="0" w:space="0" w:color="auto"/>
            <w:left w:val="none" w:sz="0" w:space="0" w:color="auto"/>
            <w:bottom w:val="none" w:sz="0" w:space="0" w:color="auto"/>
            <w:right w:val="none" w:sz="0" w:space="0" w:color="auto"/>
          </w:tblBorders>
        </w:tblPrEx>
        <w:trPr>
          <w:trHeight w:val="255"/>
        </w:trPr>
        <w:tc>
          <w:tcPr>
            <w:tcW w:w="410" w:type="pct"/>
            <w:vMerge/>
            <w:tcBorders>
              <w:top w:val="single" w:sz="4" w:space="0" w:color="000000"/>
              <w:left w:val="single" w:sz="12" w:space="0" w:color="auto"/>
              <w:bottom w:val="single" w:sz="8" w:space="0" w:color="auto"/>
              <w:right w:val="single" w:sz="4" w:space="0" w:color="auto"/>
            </w:tcBorders>
            <w:vAlign w:val="center"/>
            <w:hideMark/>
          </w:tcPr>
          <w:p w14:paraId="5AB1F49B" w14:textId="77777777" w:rsidR="00AC4220" w:rsidRPr="000A7FD1" w:rsidRDefault="00AC4220" w:rsidP="00AC4220">
            <w:pPr>
              <w:widowControl/>
              <w:adjustRightInd/>
              <w:spacing w:before="0" w:after="0"/>
              <w:textAlignment w:val="auto"/>
              <w:rPr>
                <w:rFonts w:cs="Arial"/>
                <w:color w:val="000000"/>
                <w:sz w:val="18"/>
                <w:szCs w:val="18"/>
              </w:rPr>
            </w:pPr>
          </w:p>
        </w:tc>
        <w:tc>
          <w:tcPr>
            <w:tcW w:w="3228" w:type="pct"/>
            <w:gridSpan w:val="17"/>
            <w:tcBorders>
              <w:top w:val="single" w:sz="4" w:space="0" w:color="auto"/>
              <w:left w:val="nil"/>
              <w:bottom w:val="single" w:sz="4" w:space="0" w:color="auto"/>
              <w:right w:val="single" w:sz="8" w:space="0" w:color="000000"/>
            </w:tcBorders>
            <w:shd w:val="clear" w:color="000000" w:fill="000000"/>
            <w:hideMark/>
          </w:tcPr>
          <w:p w14:paraId="7801BCB7" w14:textId="77777777" w:rsidR="00AC4220" w:rsidRPr="000A7FD1" w:rsidRDefault="00AC4220" w:rsidP="00AC4220">
            <w:pPr>
              <w:widowControl/>
              <w:adjustRightInd/>
              <w:spacing w:before="0" w:after="0"/>
              <w:textAlignment w:val="auto"/>
              <w:rPr>
                <w:rFonts w:cs="Arial"/>
                <w:b/>
                <w:bCs/>
                <w:color w:val="FFFFFF"/>
                <w:sz w:val="18"/>
                <w:szCs w:val="18"/>
              </w:rPr>
            </w:pPr>
            <w:r w:rsidRPr="000A7FD1">
              <w:rPr>
                <w:rFonts w:cs="Arial"/>
                <w:b/>
                <w:bCs/>
                <w:color w:val="FFFFFF"/>
                <w:sz w:val="18"/>
                <w:szCs w:val="18"/>
              </w:rPr>
              <w:t>Line item/account related</w:t>
            </w:r>
          </w:p>
        </w:tc>
        <w:tc>
          <w:tcPr>
            <w:tcW w:w="170" w:type="pct"/>
            <w:tcBorders>
              <w:top w:val="nil"/>
              <w:left w:val="nil"/>
              <w:bottom w:val="nil"/>
              <w:right w:val="nil"/>
            </w:tcBorders>
            <w:shd w:val="clear" w:color="000000" w:fill="000000"/>
            <w:noWrap/>
            <w:vAlign w:val="bottom"/>
            <w:hideMark/>
          </w:tcPr>
          <w:p w14:paraId="75B1B396"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nil"/>
              <w:left w:val="nil"/>
              <w:bottom w:val="nil"/>
              <w:right w:val="nil"/>
            </w:tcBorders>
            <w:shd w:val="clear" w:color="000000" w:fill="000000"/>
            <w:noWrap/>
            <w:vAlign w:val="bottom"/>
            <w:hideMark/>
          </w:tcPr>
          <w:p w14:paraId="3D436C1E"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nil"/>
              <w:left w:val="single" w:sz="4" w:space="0" w:color="auto"/>
              <w:bottom w:val="nil"/>
              <w:right w:val="nil"/>
            </w:tcBorders>
            <w:shd w:val="clear" w:color="000000" w:fill="000000"/>
            <w:noWrap/>
            <w:vAlign w:val="bottom"/>
            <w:hideMark/>
          </w:tcPr>
          <w:p w14:paraId="5E9780A8"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nil"/>
              <w:left w:val="nil"/>
              <w:bottom w:val="nil"/>
              <w:right w:val="nil"/>
            </w:tcBorders>
            <w:shd w:val="clear" w:color="000000" w:fill="000000"/>
            <w:noWrap/>
            <w:vAlign w:val="bottom"/>
            <w:hideMark/>
          </w:tcPr>
          <w:p w14:paraId="752F8AFD"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tcBorders>
              <w:top w:val="nil"/>
              <w:left w:val="nil"/>
              <w:bottom w:val="nil"/>
              <w:right w:val="single" w:sz="12" w:space="0" w:color="auto"/>
            </w:tcBorders>
            <w:shd w:val="clear" w:color="000000" w:fill="000000"/>
            <w:noWrap/>
            <w:vAlign w:val="bottom"/>
            <w:hideMark/>
          </w:tcPr>
          <w:p w14:paraId="3BF40392"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r>
      <w:tr w:rsidR="00AC010F" w:rsidRPr="000A7FD1" w14:paraId="48E75B6E" w14:textId="77777777" w:rsidTr="00D71ED5">
        <w:tblPrEx>
          <w:tblBorders>
            <w:top w:val="none" w:sz="0" w:space="0" w:color="auto"/>
            <w:left w:val="none" w:sz="0" w:space="0" w:color="auto"/>
            <w:bottom w:val="none" w:sz="0" w:space="0" w:color="auto"/>
            <w:right w:val="none" w:sz="0" w:space="0" w:color="auto"/>
          </w:tblBorders>
        </w:tblPrEx>
        <w:trPr>
          <w:trHeight w:val="2267"/>
        </w:trPr>
        <w:tc>
          <w:tcPr>
            <w:tcW w:w="410" w:type="pct"/>
            <w:vMerge/>
            <w:tcBorders>
              <w:top w:val="single" w:sz="4" w:space="0" w:color="000000"/>
              <w:left w:val="single" w:sz="12" w:space="0" w:color="auto"/>
              <w:bottom w:val="single" w:sz="8" w:space="0" w:color="auto"/>
              <w:right w:val="single" w:sz="4" w:space="0" w:color="auto"/>
            </w:tcBorders>
            <w:vAlign w:val="center"/>
            <w:hideMark/>
          </w:tcPr>
          <w:p w14:paraId="14AE30FB"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val="restart"/>
            <w:tcBorders>
              <w:top w:val="nil"/>
              <w:left w:val="single" w:sz="4" w:space="0" w:color="auto"/>
              <w:bottom w:val="single" w:sz="8" w:space="0" w:color="auto"/>
              <w:right w:val="nil"/>
            </w:tcBorders>
            <w:shd w:val="clear" w:color="auto" w:fill="auto"/>
            <w:hideMark/>
          </w:tcPr>
          <w:p w14:paraId="7999D2F0" w14:textId="48D03FE3"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u w:val="single"/>
              </w:rPr>
              <w:t>Account completeness</w:t>
            </w:r>
            <w:r w:rsidRPr="000A7FD1">
              <w:rPr>
                <w:rFonts w:cs="Arial"/>
                <w:color w:val="000000"/>
                <w:sz w:val="18"/>
                <w:szCs w:val="18"/>
              </w:rPr>
              <w:t>:</w:t>
            </w:r>
            <w:r w:rsidRPr="000A7FD1">
              <w:rPr>
                <w:rFonts w:cs="Arial"/>
                <w:color w:val="000000"/>
                <w:sz w:val="18"/>
                <w:szCs w:val="18"/>
              </w:rPr>
              <w:br/>
              <w:t xml:space="preserve">8. Assets, liabilities, net position, and budgetary balances of the entity exist but are not recorded in the proper period or accounts or are omitted from the </w:t>
            </w:r>
            <w:r w:rsidRPr="000A7FD1">
              <w:rPr>
                <w:rFonts w:cs="Arial"/>
                <w:color w:val="000000"/>
                <w:sz w:val="18"/>
                <w:szCs w:val="18"/>
              </w:rPr>
              <w:lastRenderedPageBreak/>
              <w:t>financial statements. Projections in the sustainability statements do not include all estimated future revenues and expenditures at present value that should have been included.</w:t>
            </w:r>
          </w:p>
        </w:tc>
        <w:tc>
          <w:tcPr>
            <w:tcW w:w="349" w:type="pct"/>
            <w:gridSpan w:val="2"/>
            <w:tcBorders>
              <w:top w:val="nil"/>
              <w:left w:val="single" w:sz="8" w:space="0" w:color="auto"/>
              <w:bottom w:val="single" w:sz="8" w:space="0" w:color="auto"/>
              <w:right w:val="single" w:sz="4" w:space="0" w:color="auto"/>
            </w:tcBorders>
            <w:shd w:val="clear" w:color="000000" w:fill="FFFFFF"/>
            <w:noWrap/>
            <w:hideMark/>
          </w:tcPr>
          <w:p w14:paraId="1D3E458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lastRenderedPageBreak/>
              <w:t> </w:t>
            </w:r>
          </w:p>
        </w:tc>
        <w:tc>
          <w:tcPr>
            <w:tcW w:w="379" w:type="pct"/>
            <w:vMerge w:val="restart"/>
            <w:tcBorders>
              <w:top w:val="nil"/>
              <w:left w:val="single" w:sz="4" w:space="0" w:color="auto"/>
              <w:bottom w:val="single" w:sz="8" w:space="0" w:color="auto"/>
              <w:right w:val="single" w:sz="4" w:space="0" w:color="auto"/>
            </w:tcBorders>
            <w:shd w:val="clear" w:color="auto" w:fill="auto"/>
            <w:hideMark/>
          </w:tcPr>
          <w:p w14:paraId="78FD8409"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c>
          <w:tcPr>
            <w:tcW w:w="291" w:type="pct"/>
            <w:gridSpan w:val="3"/>
            <w:vMerge w:val="restart"/>
            <w:tcBorders>
              <w:top w:val="nil"/>
              <w:left w:val="single" w:sz="4" w:space="0" w:color="auto"/>
              <w:bottom w:val="single" w:sz="8" w:space="0" w:color="auto"/>
              <w:right w:val="single" w:sz="8" w:space="0" w:color="auto"/>
            </w:tcBorders>
            <w:shd w:val="clear" w:color="auto" w:fill="auto"/>
            <w:hideMark/>
          </w:tcPr>
          <w:p w14:paraId="30BF381E"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c>
          <w:tcPr>
            <w:tcW w:w="72" w:type="pct"/>
            <w:tcBorders>
              <w:top w:val="nil"/>
              <w:left w:val="nil"/>
              <w:bottom w:val="single" w:sz="8" w:space="0" w:color="auto"/>
              <w:right w:val="nil"/>
            </w:tcBorders>
            <w:shd w:val="clear" w:color="000000" w:fill="000000"/>
            <w:hideMark/>
          </w:tcPr>
          <w:p w14:paraId="32D8B1A3"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c>
          <w:tcPr>
            <w:tcW w:w="726" w:type="pct"/>
            <w:gridSpan w:val="4"/>
            <w:tcBorders>
              <w:top w:val="nil"/>
              <w:left w:val="single" w:sz="8" w:space="0" w:color="auto"/>
              <w:bottom w:val="single" w:sz="8" w:space="0" w:color="auto"/>
              <w:right w:val="single" w:sz="4" w:space="0" w:color="auto"/>
            </w:tcBorders>
            <w:shd w:val="clear" w:color="000000" w:fill="FFFFFF"/>
            <w:hideMark/>
          </w:tcPr>
          <w:p w14:paraId="3E2392C8" w14:textId="5332552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xml:space="preserve">8a. All assets, liabilities, net position, and budgetary balances that should have been recorded have been recorded in the proper period and accounts and are properly included in the financial statements. </w:t>
            </w:r>
          </w:p>
        </w:tc>
        <w:tc>
          <w:tcPr>
            <w:tcW w:w="243" w:type="pct"/>
            <w:tcBorders>
              <w:top w:val="nil"/>
              <w:left w:val="nil"/>
              <w:bottom w:val="single" w:sz="8" w:space="0" w:color="auto"/>
              <w:right w:val="nil"/>
            </w:tcBorders>
            <w:shd w:val="clear" w:color="000000" w:fill="FFFFFF"/>
            <w:vAlign w:val="center"/>
            <w:hideMark/>
          </w:tcPr>
          <w:p w14:paraId="75C2D0F4"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nil"/>
              <w:left w:val="single" w:sz="4" w:space="0" w:color="auto"/>
              <w:bottom w:val="single" w:sz="8" w:space="0" w:color="auto"/>
              <w:right w:val="single" w:sz="8" w:space="0" w:color="auto"/>
            </w:tcBorders>
            <w:shd w:val="clear" w:color="000000" w:fill="FFFFFF"/>
            <w:noWrap/>
            <w:vAlign w:val="center"/>
            <w:hideMark/>
          </w:tcPr>
          <w:p w14:paraId="4DD719B9"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nil"/>
              <w:left w:val="nil"/>
              <w:bottom w:val="single" w:sz="8" w:space="0" w:color="auto"/>
              <w:right w:val="single" w:sz="4" w:space="0" w:color="auto"/>
            </w:tcBorders>
            <w:shd w:val="clear" w:color="000000" w:fill="FFFFFF"/>
            <w:noWrap/>
            <w:vAlign w:val="center"/>
            <w:hideMark/>
          </w:tcPr>
          <w:p w14:paraId="5002BC6D"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single" w:sz="4" w:space="0" w:color="auto"/>
              <w:left w:val="nil"/>
              <w:bottom w:val="single" w:sz="8" w:space="0" w:color="auto"/>
              <w:right w:val="single" w:sz="8" w:space="0" w:color="auto"/>
            </w:tcBorders>
            <w:shd w:val="clear" w:color="000000" w:fill="FFFFFF"/>
            <w:noWrap/>
            <w:vAlign w:val="center"/>
            <w:hideMark/>
          </w:tcPr>
          <w:p w14:paraId="140382DC"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single" w:sz="4" w:space="0" w:color="auto"/>
              <w:left w:val="nil"/>
              <w:bottom w:val="single" w:sz="8" w:space="0" w:color="auto"/>
              <w:right w:val="nil"/>
            </w:tcBorders>
            <w:shd w:val="clear" w:color="000000" w:fill="FFFFFF"/>
            <w:noWrap/>
            <w:vAlign w:val="center"/>
            <w:hideMark/>
          </w:tcPr>
          <w:p w14:paraId="65BFDC8E"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single" w:sz="4" w:space="0" w:color="auto"/>
              <w:left w:val="single" w:sz="4" w:space="0" w:color="auto"/>
              <w:bottom w:val="single" w:sz="8" w:space="0" w:color="auto"/>
              <w:right w:val="single" w:sz="4" w:space="0" w:color="auto"/>
            </w:tcBorders>
            <w:shd w:val="clear" w:color="000000" w:fill="FFFFFF"/>
            <w:noWrap/>
            <w:vAlign w:val="center"/>
            <w:hideMark/>
          </w:tcPr>
          <w:p w14:paraId="0C7D1AFE"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single" w:sz="4" w:space="0" w:color="auto"/>
              <w:left w:val="nil"/>
              <w:bottom w:val="single" w:sz="8" w:space="0" w:color="auto"/>
              <w:right w:val="single" w:sz="4" w:space="0" w:color="auto"/>
            </w:tcBorders>
            <w:shd w:val="clear" w:color="000000" w:fill="FFFFFF"/>
            <w:vAlign w:val="center"/>
            <w:hideMark/>
          </w:tcPr>
          <w:p w14:paraId="368128DD"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vMerge w:val="restart"/>
            <w:tcBorders>
              <w:top w:val="single" w:sz="4" w:space="0" w:color="auto"/>
              <w:left w:val="single" w:sz="4" w:space="0" w:color="auto"/>
              <w:bottom w:val="single" w:sz="4" w:space="0" w:color="000000"/>
              <w:right w:val="single" w:sz="12" w:space="0" w:color="auto"/>
            </w:tcBorders>
            <w:shd w:val="clear" w:color="000000" w:fill="FFFFFF"/>
            <w:vAlign w:val="center"/>
            <w:hideMark/>
          </w:tcPr>
          <w:p w14:paraId="14096EAB"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r>
      <w:tr w:rsidR="00AC010F" w:rsidRPr="000A7FD1" w14:paraId="7556C2B5" w14:textId="77777777" w:rsidTr="00D71ED5">
        <w:tblPrEx>
          <w:tblBorders>
            <w:top w:val="none" w:sz="0" w:space="0" w:color="auto"/>
            <w:left w:val="none" w:sz="0" w:space="0" w:color="auto"/>
            <w:bottom w:val="none" w:sz="0" w:space="0" w:color="auto"/>
            <w:right w:val="none" w:sz="0" w:space="0" w:color="auto"/>
          </w:tblBorders>
        </w:tblPrEx>
        <w:trPr>
          <w:trHeight w:val="2295"/>
        </w:trPr>
        <w:tc>
          <w:tcPr>
            <w:tcW w:w="410" w:type="pct"/>
            <w:vMerge/>
            <w:tcBorders>
              <w:top w:val="single" w:sz="4" w:space="0" w:color="000000"/>
              <w:left w:val="single" w:sz="12" w:space="0" w:color="auto"/>
              <w:bottom w:val="single" w:sz="8" w:space="0" w:color="auto"/>
              <w:right w:val="single" w:sz="4" w:space="0" w:color="auto"/>
            </w:tcBorders>
            <w:vAlign w:val="center"/>
            <w:hideMark/>
          </w:tcPr>
          <w:p w14:paraId="6EAB6579"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tcBorders>
              <w:top w:val="single" w:sz="8" w:space="0" w:color="auto"/>
              <w:left w:val="single" w:sz="4" w:space="0" w:color="auto"/>
              <w:bottom w:val="single" w:sz="4" w:space="0" w:color="auto"/>
              <w:right w:val="nil"/>
            </w:tcBorders>
            <w:vAlign w:val="center"/>
            <w:hideMark/>
          </w:tcPr>
          <w:p w14:paraId="4060BCFB" w14:textId="77777777" w:rsidR="00AC4220" w:rsidRPr="000A7FD1" w:rsidRDefault="00AC4220" w:rsidP="00AC4220">
            <w:pPr>
              <w:widowControl/>
              <w:adjustRightInd/>
              <w:spacing w:before="0" w:after="0"/>
              <w:textAlignment w:val="auto"/>
              <w:rPr>
                <w:rFonts w:cs="Arial"/>
                <w:color w:val="000000"/>
                <w:sz w:val="18"/>
                <w:szCs w:val="18"/>
              </w:rPr>
            </w:pPr>
          </w:p>
        </w:tc>
        <w:tc>
          <w:tcPr>
            <w:tcW w:w="349" w:type="pct"/>
            <w:gridSpan w:val="2"/>
            <w:tcBorders>
              <w:top w:val="single" w:sz="8" w:space="0" w:color="auto"/>
              <w:left w:val="single" w:sz="8" w:space="0" w:color="auto"/>
              <w:bottom w:val="single" w:sz="4" w:space="0" w:color="auto"/>
              <w:right w:val="single" w:sz="4" w:space="0" w:color="auto"/>
            </w:tcBorders>
            <w:shd w:val="clear" w:color="000000" w:fill="FFFFFF"/>
            <w:noWrap/>
            <w:hideMark/>
          </w:tcPr>
          <w:p w14:paraId="5A3EC3EC"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79" w:type="pct"/>
            <w:vMerge/>
            <w:tcBorders>
              <w:top w:val="single" w:sz="8" w:space="0" w:color="auto"/>
              <w:left w:val="single" w:sz="4" w:space="0" w:color="auto"/>
              <w:bottom w:val="single" w:sz="4" w:space="0" w:color="000000"/>
              <w:right w:val="single" w:sz="4" w:space="0" w:color="auto"/>
            </w:tcBorders>
            <w:vAlign w:val="center"/>
            <w:hideMark/>
          </w:tcPr>
          <w:p w14:paraId="34EF0D4D" w14:textId="77777777" w:rsidR="00AC4220" w:rsidRPr="000A7FD1" w:rsidRDefault="00AC4220" w:rsidP="00AC4220">
            <w:pPr>
              <w:widowControl/>
              <w:adjustRightInd/>
              <w:spacing w:before="0" w:after="0"/>
              <w:textAlignment w:val="auto"/>
              <w:rPr>
                <w:rFonts w:cs="Arial"/>
                <w:color w:val="000000"/>
                <w:sz w:val="18"/>
                <w:szCs w:val="18"/>
              </w:rPr>
            </w:pPr>
          </w:p>
        </w:tc>
        <w:tc>
          <w:tcPr>
            <w:tcW w:w="291" w:type="pct"/>
            <w:gridSpan w:val="3"/>
            <w:vMerge/>
            <w:tcBorders>
              <w:top w:val="single" w:sz="8" w:space="0" w:color="auto"/>
              <w:left w:val="single" w:sz="4" w:space="0" w:color="auto"/>
              <w:bottom w:val="single" w:sz="4" w:space="0" w:color="000000"/>
              <w:right w:val="single" w:sz="8" w:space="0" w:color="auto"/>
            </w:tcBorders>
            <w:vAlign w:val="center"/>
            <w:hideMark/>
          </w:tcPr>
          <w:p w14:paraId="51DE1146" w14:textId="77777777" w:rsidR="00AC4220" w:rsidRPr="000A7FD1" w:rsidRDefault="00AC4220" w:rsidP="00AC4220">
            <w:pPr>
              <w:widowControl/>
              <w:adjustRightInd/>
              <w:spacing w:before="0" w:after="0"/>
              <w:textAlignment w:val="auto"/>
              <w:rPr>
                <w:rFonts w:cs="Arial"/>
                <w:color w:val="000000"/>
                <w:sz w:val="18"/>
                <w:szCs w:val="18"/>
              </w:rPr>
            </w:pPr>
          </w:p>
        </w:tc>
        <w:tc>
          <w:tcPr>
            <w:tcW w:w="72" w:type="pct"/>
            <w:tcBorders>
              <w:top w:val="single" w:sz="8" w:space="0" w:color="auto"/>
              <w:left w:val="nil"/>
              <w:bottom w:val="single" w:sz="4" w:space="0" w:color="auto"/>
              <w:right w:val="nil"/>
            </w:tcBorders>
            <w:shd w:val="clear" w:color="000000" w:fill="000000"/>
            <w:hideMark/>
          </w:tcPr>
          <w:p w14:paraId="4F497D26"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c>
          <w:tcPr>
            <w:tcW w:w="726" w:type="pct"/>
            <w:gridSpan w:val="4"/>
            <w:tcBorders>
              <w:top w:val="single" w:sz="8" w:space="0" w:color="auto"/>
              <w:left w:val="single" w:sz="8" w:space="0" w:color="auto"/>
              <w:bottom w:val="single" w:sz="4" w:space="0" w:color="auto"/>
              <w:right w:val="single" w:sz="4" w:space="0" w:color="auto"/>
            </w:tcBorders>
            <w:shd w:val="clear" w:color="000000" w:fill="FFFFFF"/>
            <w:hideMark/>
          </w:tcPr>
          <w:p w14:paraId="51530906"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8b. Projections in the sustainability statements include all estimated future revenues and expenditures at present value that should have been included.</w:t>
            </w:r>
          </w:p>
        </w:tc>
        <w:tc>
          <w:tcPr>
            <w:tcW w:w="243" w:type="pct"/>
            <w:tcBorders>
              <w:top w:val="single" w:sz="8" w:space="0" w:color="auto"/>
              <w:left w:val="nil"/>
              <w:bottom w:val="single" w:sz="4" w:space="0" w:color="auto"/>
              <w:right w:val="nil"/>
            </w:tcBorders>
            <w:shd w:val="clear" w:color="000000" w:fill="FFFFFF"/>
            <w:vAlign w:val="center"/>
            <w:hideMark/>
          </w:tcPr>
          <w:p w14:paraId="798E0C6F"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single" w:sz="8" w:space="0" w:color="auto"/>
              <w:left w:val="single" w:sz="4" w:space="0" w:color="auto"/>
              <w:bottom w:val="single" w:sz="4" w:space="0" w:color="auto"/>
              <w:right w:val="single" w:sz="8" w:space="0" w:color="auto"/>
            </w:tcBorders>
            <w:shd w:val="clear" w:color="000000" w:fill="FFFFFF"/>
            <w:noWrap/>
            <w:vAlign w:val="center"/>
            <w:hideMark/>
          </w:tcPr>
          <w:p w14:paraId="597FF5AF"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single" w:sz="8" w:space="0" w:color="auto"/>
              <w:left w:val="nil"/>
              <w:bottom w:val="single" w:sz="4" w:space="0" w:color="auto"/>
              <w:right w:val="single" w:sz="4" w:space="0" w:color="auto"/>
            </w:tcBorders>
            <w:shd w:val="clear" w:color="000000" w:fill="FFFFFF"/>
            <w:noWrap/>
            <w:vAlign w:val="center"/>
            <w:hideMark/>
          </w:tcPr>
          <w:p w14:paraId="1D01220D"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single" w:sz="8" w:space="0" w:color="auto"/>
              <w:left w:val="nil"/>
              <w:bottom w:val="single" w:sz="4" w:space="0" w:color="auto"/>
              <w:right w:val="single" w:sz="8" w:space="0" w:color="auto"/>
            </w:tcBorders>
            <w:shd w:val="clear" w:color="000000" w:fill="FFFFFF"/>
            <w:noWrap/>
            <w:vAlign w:val="center"/>
            <w:hideMark/>
          </w:tcPr>
          <w:p w14:paraId="4F8420A4"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single" w:sz="8" w:space="0" w:color="auto"/>
              <w:left w:val="nil"/>
              <w:bottom w:val="single" w:sz="4" w:space="0" w:color="auto"/>
              <w:right w:val="nil"/>
            </w:tcBorders>
            <w:shd w:val="clear" w:color="000000" w:fill="FFFFFF"/>
            <w:noWrap/>
            <w:vAlign w:val="center"/>
            <w:hideMark/>
          </w:tcPr>
          <w:p w14:paraId="1AE51E34"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single" w:sz="8" w:space="0" w:color="auto"/>
              <w:left w:val="single" w:sz="4" w:space="0" w:color="auto"/>
              <w:bottom w:val="single" w:sz="4" w:space="0" w:color="auto"/>
              <w:right w:val="nil"/>
            </w:tcBorders>
            <w:shd w:val="clear" w:color="000000" w:fill="FFFFFF"/>
            <w:noWrap/>
            <w:vAlign w:val="center"/>
            <w:hideMark/>
          </w:tcPr>
          <w:p w14:paraId="62C47692"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single" w:sz="8" w:space="0" w:color="auto"/>
              <w:left w:val="single" w:sz="4" w:space="0" w:color="auto"/>
              <w:bottom w:val="single" w:sz="4" w:space="0" w:color="auto"/>
              <w:right w:val="single" w:sz="4" w:space="0" w:color="auto"/>
            </w:tcBorders>
            <w:shd w:val="clear" w:color="000000" w:fill="FFFFFF"/>
            <w:vAlign w:val="center"/>
            <w:hideMark/>
          </w:tcPr>
          <w:p w14:paraId="2605BC6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vMerge/>
            <w:tcBorders>
              <w:top w:val="single" w:sz="4" w:space="0" w:color="auto"/>
              <w:left w:val="single" w:sz="4" w:space="0" w:color="auto"/>
              <w:bottom w:val="single" w:sz="4" w:space="0" w:color="000000"/>
              <w:right w:val="single" w:sz="12" w:space="0" w:color="auto"/>
            </w:tcBorders>
            <w:vAlign w:val="center"/>
            <w:hideMark/>
          </w:tcPr>
          <w:p w14:paraId="4519441C" w14:textId="77777777" w:rsidR="00AC4220" w:rsidRPr="000A7FD1" w:rsidRDefault="00AC4220" w:rsidP="00AC4220">
            <w:pPr>
              <w:widowControl/>
              <w:adjustRightInd/>
              <w:spacing w:before="0" w:after="0"/>
              <w:textAlignment w:val="auto"/>
              <w:rPr>
                <w:rFonts w:cs="Arial"/>
                <w:color w:val="000000"/>
                <w:sz w:val="18"/>
                <w:szCs w:val="18"/>
              </w:rPr>
            </w:pPr>
          </w:p>
        </w:tc>
      </w:tr>
      <w:tr w:rsidR="00AC010F" w:rsidRPr="000A7FD1" w14:paraId="6CE0DF57" w14:textId="77777777" w:rsidTr="00D13403">
        <w:tblPrEx>
          <w:tblBorders>
            <w:top w:val="none" w:sz="0" w:space="0" w:color="auto"/>
            <w:left w:val="none" w:sz="0" w:space="0" w:color="auto"/>
            <w:bottom w:val="none" w:sz="0" w:space="0" w:color="auto"/>
            <w:right w:val="none" w:sz="0" w:space="0" w:color="auto"/>
          </w:tblBorders>
        </w:tblPrEx>
        <w:trPr>
          <w:trHeight w:val="255"/>
        </w:trPr>
        <w:tc>
          <w:tcPr>
            <w:tcW w:w="410" w:type="pct"/>
            <w:vMerge w:val="restart"/>
            <w:tcBorders>
              <w:top w:val="single" w:sz="8" w:space="0" w:color="auto"/>
              <w:left w:val="single" w:sz="12" w:space="0" w:color="auto"/>
              <w:bottom w:val="single" w:sz="8" w:space="0" w:color="auto"/>
              <w:right w:val="single" w:sz="4" w:space="0" w:color="auto"/>
            </w:tcBorders>
            <w:shd w:val="clear" w:color="000000" w:fill="FFFFFF"/>
            <w:hideMark/>
          </w:tcPr>
          <w:p w14:paraId="1C78801C"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xml:space="preserve">Accuracy, </w:t>
            </w:r>
            <w:r w:rsidRPr="000A7FD1">
              <w:rPr>
                <w:rFonts w:cs="Arial"/>
                <w:color w:val="000000"/>
                <w:sz w:val="18"/>
                <w:szCs w:val="18"/>
              </w:rPr>
              <w:br/>
              <w:t>Valuation, and Allocation</w:t>
            </w:r>
          </w:p>
        </w:tc>
        <w:tc>
          <w:tcPr>
            <w:tcW w:w="3228" w:type="pct"/>
            <w:gridSpan w:val="17"/>
            <w:tcBorders>
              <w:top w:val="single" w:sz="4" w:space="0" w:color="auto"/>
              <w:left w:val="nil"/>
              <w:bottom w:val="single" w:sz="4" w:space="0" w:color="auto"/>
              <w:right w:val="single" w:sz="8" w:space="0" w:color="000000"/>
            </w:tcBorders>
            <w:shd w:val="clear" w:color="000000" w:fill="000000"/>
            <w:hideMark/>
          </w:tcPr>
          <w:p w14:paraId="55D76A71" w14:textId="77777777" w:rsidR="00AC4220" w:rsidRPr="000A7FD1" w:rsidRDefault="00AC4220" w:rsidP="00AC4220">
            <w:pPr>
              <w:widowControl/>
              <w:adjustRightInd/>
              <w:spacing w:before="0" w:after="0"/>
              <w:textAlignment w:val="auto"/>
              <w:rPr>
                <w:rFonts w:cs="Arial"/>
                <w:b/>
                <w:bCs/>
                <w:color w:val="FFFFFF"/>
                <w:sz w:val="18"/>
                <w:szCs w:val="18"/>
              </w:rPr>
            </w:pPr>
            <w:r w:rsidRPr="000A7FD1">
              <w:rPr>
                <w:rFonts w:cs="Arial"/>
                <w:b/>
                <w:bCs/>
                <w:color w:val="FFFFFF"/>
                <w:sz w:val="18"/>
                <w:szCs w:val="18"/>
              </w:rPr>
              <w:t>Transaction related</w:t>
            </w:r>
          </w:p>
        </w:tc>
        <w:tc>
          <w:tcPr>
            <w:tcW w:w="170" w:type="pct"/>
            <w:tcBorders>
              <w:top w:val="nil"/>
              <w:left w:val="nil"/>
              <w:bottom w:val="nil"/>
              <w:right w:val="nil"/>
            </w:tcBorders>
            <w:shd w:val="clear" w:color="000000" w:fill="000000"/>
            <w:noWrap/>
            <w:vAlign w:val="bottom"/>
            <w:hideMark/>
          </w:tcPr>
          <w:p w14:paraId="441B5AB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nil"/>
              <w:left w:val="nil"/>
              <w:bottom w:val="nil"/>
              <w:right w:val="nil"/>
            </w:tcBorders>
            <w:shd w:val="clear" w:color="000000" w:fill="000000"/>
            <w:noWrap/>
            <w:vAlign w:val="bottom"/>
            <w:hideMark/>
          </w:tcPr>
          <w:p w14:paraId="68736336"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nil"/>
              <w:left w:val="single" w:sz="4" w:space="0" w:color="auto"/>
              <w:bottom w:val="nil"/>
              <w:right w:val="nil"/>
            </w:tcBorders>
            <w:shd w:val="clear" w:color="000000" w:fill="000000"/>
            <w:noWrap/>
            <w:vAlign w:val="bottom"/>
            <w:hideMark/>
          </w:tcPr>
          <w:p w14:paraId="2DB1F4D2"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nil"/>
              <w:left w:val="nil"/>
              <w:bottom w:val="nil"/>
              <w:right w:val="nil"/>
            </w:tcBorders>
            <w:shd w:val="clear" w:color="000000" w:fill="000000"/>
            <w:noWrap/>
            <w:vAlign w:val="bottom"/>
            <w:hideMark/>
          </w:tcPr>
          <w:p w14:paraId="1F09ECD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tcBorders>
              <w:top w:val="nil"/>
              <w:left w:val="nil"/>
              <w:bottom w:val="nil"/>
              <w:right w:val="single" w:sz="12" w:space="0" w:color="auto"/>
            </w:tcBorders>
            <w:shd w:val="clear" w:color="000000" w:fill="000000"/>
            <w:noWrap/>
            <w:vAlign w:val="bottom"/>
            <w:hideMark/>
          </w:tcPr>
          <w:p w14:paraId="5ACFB1B2"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r>
      <w:tr w:rsidR="00AC010F" w:rsidRPr="000A7FD1" w14:paraId="6E008489" w14:textId="77777777" w:rsidTr="00D71ED5">
        <w:tblPrEx>
          <w:tblBorders>
            <w:top w:val="none" w:sz="0" w:space="0" w:color="auto"/>
            <w:left w:val="none" w:sz="0" w:space="0" w:color="auto"/>
            <w:bottom w:val="none" w:sz="0" w:space="0" w:color="auto"/>
            <w:right w:val="none" w:sz="0" w:space="0" w:color="auto"/>
          </w:tblBorders>
        </w:tblPrEx>
        <w:trPr>
          <w:trHeight w:val="872"/>
        </w:trPr>
        <w:tc>
          <w:tcPr>
            <w:tcW w:w="410" w:type="pct"/>
            <w:vMerge/>
            <w:tcBorders>
              <w:top w:val="single" w:sz="4" w:space="0" w:color="000000"/>
              <w:left w:val="single" w:sz="12" w:space="0" w:color="auto"/>
              <w:bottom w:val="single" w:sz="8" w:space="0" w:color="auto"/>
              <w:right w:val="single" w:sz="4" w:space="0" w:color="auto"/>
            </w:tcBorders>
            <w:vAlign w:val="center"/>
            <w:hideMark/>
          </w:tcPr>
          <w:p w14:paraId="09E4F91B"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val="restart"/>
            <w:tcBorders>
              <w:top w:val="nil"/>
              <w:left w:val="single" w:sz="4" w:space="0" w:color="auto"/>
              <w:bottom w:val="single" w:sz="4" w:space="0" w:color="000000"/>
              <w:right w:val="nil"/>
            </w:tcBorders>
            <w:shd w:val="clear" w:color="auto" w:fill="auto"/>
            <w:hideMark/>
          </w:tcPr>
          <w:p w14:paraId="18D51648"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u w:val="single"/>
              </w:rPr>
              <w:t>Accuracy</w:t>
            </w:r>
            <w:r w:rsidRPr="000A7FD1">
              <w:rPr>
                <w:rFonts w:cs="Arial"/>
                <w:color w:val="000000"/>
                <w:sz w:val="18"/>
                <w:szCs w:val="18"/>
              </w:rPr>
              <w:t>:</w:t>
            </w:r>
            <w:r w:rsidRPr="000A7FD1">
              <w:rPr>
                <w:rFonts w:cs="Arial"/>
                <w:color w:val="000000"/>
                <w:sz w:val="18"/>
                <w:szCs w:val="18"/>
              </w:rPr>
              <w:br/>
              <w:t xml:space="preserve">9. Amounts and other data relating to recorded transactions or events have not been appropriately recorded. </w:t>
            </w:r>
          </w:p>
          <w:p w14:paraId="5A1C8715" w14:textId="77777777" w:rsidR="002A7208" w:rsidRPr="000A7FD1" w:rsidRDefault="002A7208" w:rsidP="00AC4220">
            <w:pPr>
              <w:widowControl/>
              <w:adjustRightInd/>
              <w:spacing w:before="0" w:after="0"/>
              <w:textAlignment w:val="auto"/>
              <w:rPr>
                <w:rFonts w:cs="Arial"/>
                <w:color w:val="000000"/>
                <w:sz w:val="18"/>
                <w:szCs w:val="18"/>
              </w:rPr>
            </w:pPr>
          </w:p>
          <w:p w14:paraId="303534E3" w14:textId="77777777" w:rsidR="00C35877" w:rsidRPr="000A7FD1" w:rsidRDefault="00C35877" w:rsidP="00AC4220">
            <w:pPr>
              <w:widowControl/>
              <w:adjustRightInd/>
              <w:spacing w:before="0" w:after="0"/>
              <w:textAlignment w:val="auto"/>
              <w:rPr>
                <w:rFonts w:cs="Arial"/>
                <w:color w:val="000000"/>
                <w:sz w:val="18"/>
                <w:szCs w:val="18"/>
              </w:rPr>
            </w:pPr>
          </w:p>
        </w:tc>
        <w:tc>
          <w:tcPr>
            <w:tcW w:w="349" w:type="pct"/>
            <w:gridSpan w:val="2"/>
            <w:tcBorders>
              <w:top w:val="nil"/>
              <w:left w:val="single" w:sz="8" w:space="0" w:color="auto"/>
              <w:bottom w:val="nil"/>
              <w:right w:val="single" w:sz="4" w:space="0" w:color="auto"/>
            </w:tcBorders>
            <w:shd w:val="clear" w:color="000000" w:fill="FFFFFF"/>
            <w:noWrap/>
            <w:hideMark/>
          </w:tcPr>
          <w:p w14:paraId="043AA529"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79" w:type="pct"/>
            <w:tcBorders>
              <w:top w:val="nil"/>
              <w:left w:val="nil"/>
              <w:bottom w:val="nil"/>
              <w:right w:val="single" w:sz="4" w:space="0" w:color="auto"/>
            </w:tcBorders>
            <w:shd w:val="clear" w:color="auto" w:fill="auto"/>
            <w:hideMark/>
          </w:tcPr>
          <w:p w14:paraId="58DECE50"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1" w:type="pct"/>
            <w:gridSpan w:val="3"/>
            <w:tcBorders>
              <w:top w:val="nil"/>
              <w:left w:val="nil"/>
              <w:bottom w:val="nil"/>
              <w:right w:val="single" w:sz="8" w:space="0" w:color="auto"/>
            </w:tcBorders>
            <w:shd w:val="clear" w:color="auto" w:fill="auto"/>
            <w:hideMark/>
          </w:tcPr>
          <w:p w14:paraId="769DCAA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 w:type="pct"/>
            <w:tcBorders>
              <w:top w:val="nil"/>
              <w:left w:val="nil"/>
              <w:bottom w:val="nil"/>
              <w:right w:val="nil"/>
            </w:tcBorders>
            <w:shd w:val="clear" w:color="000000" w:fill="000000"/>
            <w:hideMark/>
          </w:tcPr>
          <w:p w14:paraId="1E741840"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6" w:type="pct"/>
            <w:gridSpan w:val="4"/>
            <w:vMerge w:val="restart"/>
            <w:tcBorders>
              <w:top w:val="nil"/>
              <w:left w:val="single" w:sz="8" w:space="0" w:color="auto"/>
              <w:bottom w:val="single" w:sz="4" w:space="0" w:color="000000"/>
              <w:right w:val="single" w:sz="4" w:space="0" w:color="auto"/>
            </w:tcBorders>
            <w:shd w:val="clear" w:color="000000" w:fill="FFFFFF"/>
            <w:hideMark/>
          </w:tcPr>
          <w:p w14:paraId="66D30FE9"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9. Amounts and other data relating to recorded transactions and events have been appropriately recorded.</w:t>
            </w:r>
          </w:p>
        </w:tc>
        <w:tc>
          <w:tcPr>
            <w:tcW w:w="243" w:type="pct"/>
            <w:tcBorders>
              <w:top w:val="nil"/>
              <w:left w:val="nil"/>
              <w:bottom w:val="nil"/>
              <w:right w:val="nil"/>
            </w:tcBorders>
            <w:shd w:val="clear" w:color="000000" w:fill="FFFFFF"/>
            <w:vAlign w:val="center"/>
            <w:hideMark/>
          </w:tcPr>
          <w:p w14:paraId="4A16547B"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nil"/>
              <w:left w:val="single" w:sz="4" w:space="0" w:color="auto"/>
              <w:bottom w:val="nil"/>
              <w:right w:val="single" w:sz="8" w:space="0" w:color="auto"/>
            </w:tcBorders>
            <w:shd w:val="clear" w:color="000000" w:fill="FFFFFF"/>
            <w:noWrap/>
            <w:vAlign w:val="center"/>
            <w:hideMark/>
          </w:tcPr>
          <w:p w14:paraId="55B3CFAB"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nil"/>
              <w:left w:val="nil"/>
              <w:bottom w:val="nil"/>
              <w:right w:val="single" w:sz="4" w:space="0" w:color="auto"/>
            </w:tcBorders>
            <w:shd w:val="clear" w:color="000000" w:fill="FFFFFF"/>
            <w:noWrap/>
            <w:vAlign w:val="center"/>
            <w:hideMark/>
          </w:tcPr>
          <w:p w14:paraId="6E32BCEB"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single" w:sz="4" w:space="0" w:color="auto"/>
              <w:left w:val="nil"/>
              <w:bottom w:val="nil"/>
              <w:right w:val="single" w:sz="8" w:space="0" w:color="auto"/>
            </w:tcBorders>
            <w:shd w:val="clear" w:color="000000" w:fill="FFFFFF"/>
            <w:noWrap/>
            <w:vAlign w:val="center"/>
            <w:hideMark/>
          </w:tcPr>
          <w:p w14:paraId="2B866F7F"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single" w:sz="4" w:space="0" w:color="auto"/>
              <w:left w:val="nil"/>
              <w:bottom w:val="nil"/>
              <w:right w:val="nil"/>
            </w:tcBorders>
            <w:shd w:val="clear" w:color="000000" w:fill="FFFFFF"/>
            <w:noWrap/>
            <w:vAlign w:val="center"/>
            <w:hideMark/>
          </w:tcPr>
          <w:p w14:paraId="5F7012CF"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single" w:sz="4" w:space="0" w:color="auto"/>
              <w:left w:val="single" w:sz="4" w:space="0" w:color="auto"/>
              <w:bottom w:val="nil"/>
              <w:right w:val="nil"/>
            </w:tcBorders>
            <w:shd w:val="clear" w:color="000000" w:fill="FFFFFF"/>
            <w:noWrap/>
            <w:vAlign w:val="center"/>
            <w:hideMark/>
          </w:tcPr>
          <w:p w14:paraId="698E6776"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single" w:sz="4" w:space="0" w:color="auto"/>
              <w:left w:val="single" w:sz="4" w:space="0" w:color="auto"/>
              <w:bottom w:val="nil"/>
              <w:right w:val="single" w:sz="4" w:space="0" w:color="auto"/>
            </w:tcBorders>
            <w:shd w:val="clear" w:color="000000" w:fill="FFFFFF"/>
            <w:vAlign w:val="center"/>
            <w:hideMark/>
          </w:tcPr>
          <w:p w14:paraId="17241906"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vMerge w:val="restart"/>
            <w:tcBorders>
              <w:top w:val="single" w:sz="4" w:space="0" w:color="auto"/>
              <w:left w:val="single" w:sz="4" w:space="0" w:color="auto"/>
              <w:bottom w:val="single" w:sz="4" w:space="0" w:color="000000"/>
              <w:right w:val="single" w:sz="12" w:space="0" w:color="auto"/>
            </w:tcBorders>
            <w:shd w:val="clear" w:color="000000" w:fill="FFFFFF"/>
            <w:vAlign w:val="center"/>
            <w:hideMark/>
          </w:tcPr>
          <w:p w14:paraId="5EE0B805"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r>
      <w:tr w:rsidR="00AC010F" w:rsidRPr="000A7FD1" w14:paraId="5EB78C6B" w14:textId="77777777" w:rsidTr="00D71ED5">
        <w:tblPrEx>
          <w:tblBorders>
            <w:top w:val="none" w:sz="0" w:space="0" w:color="auto"/>
            <w:left w:val="none" w:sz="0" w:space="0" w:color="auto"/>
            <w:bottom w:val="none" w:sz="0" w:space="0" w:color="auto"/>
            <w:right w:val="none" w:sz="0" w:space="0" w:color="auto"/>
          </w:tblBorders>
        </w:tblPrEx>
        <w:trPr>
          <w:trHeight w:val="660"/>
        </w:trPr>
        <w:tc>
          <w:tcPr>
            <w:tcW w:w="410" w:type="pct"/>
            <w:vMerge/>
            <w:tcBorders>
              <w:top w:val="single" w:sz="4" w:space="0" w:color="000000"/>
              <w:left w:val="single" w:sz="12" w:space="0" w:color="auto"/>
              <w:bottom w:val="single" w:sz="8" w:space="0" w:color="auto"/>
              <w:right w:val="single" w:sz="4" w:space="0" w:color="auto"/>
            </w:tcBorders>
            <w:vAlign w:val="center"/>
            <w:hideMark/>
          </w:tcPr>
          <w:p w14:paraId="24E96B1D"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tcBorders>
              <w:top w:val="nil"/>
              <w:left w:val="single" w:sz="4" w:space="0" w:color="auto"/>
              <w:bottom w:val="single" w:sz="4" w:space="0" w:color="000000"/>
              <w:right w:val="nil"/>
            </w:tcBorders>
            <w:vAlign w:val="center"/>
            <w:hideMark/>
          </w:tcPr>
          <w:p w14:paraId="29BF0E61" w14:textId="77777777" w:rsidR="00AC4220" w:rsidRPr="000A7FD1" w:rsidRDefault="00AC4220" w:rsidP="00AC4220">
            <w:pPr>
              <w:widowControl/>
              <w:adjustRightInd/>
              <w:spacing w:before="0" w:after="0"/>
              <w:textAlignment w:val="auto"/>
              <w:rPr>
                <w:rFonts w:cs="Arial"/>
                <w:color w:val="000000"/>
                <w:sz w:val="18"/>
                <w:szCs w:val="18"/>
              </w:rPr>
            </w:pPr>
          </w:p>
        </w:tc>
        <w:tc>
          <w:tcPr>
            <w:tcW w:w="349" w:type="pct"/>
            <w:gridSpan w:val="2"/>
            <w:tcBorders>
              <w:top w:val="single" w:sz="4" w:space="0" w:color="auto"/>
              <w:left w:val="single" w:sz="8" w:space="0" w:color="auto"/>
              <w:bottom w:val="single" w:sz="4" w:space="0" w:color="auto"/>
              <w:right w:val="single" w:sz="4" w:space="0" w:color="auto"/>
            </w:tcBorders>
            <w:shd w:val="clear" w:color="000000" w:fill="FFFFFF"/>
            <w:noWrap/>
            <w:hideMark/>
          </w:tcPr>
          <w:p w14:paraId="219766B9"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79" w:type="pct"/>
            <w:tcBorders>
              <w:top w:val="single" w:sz="4" w:space="0" w:color="auto"/>
              <w:left w:val="nil"/>
              <w:bottom w:val="single" w:sz="4" w:space="0" w:color="auto"/>
              <w:right w:val="single" w:sz="4" w:space="0" w:color="auto"/>
            </w:tcBorders>
            <w:shd w:val="clear" w:color="auto" w:fill="auto"/>
            <w:hideMark/>
          </w:tcPr>
          <w:p w14:paraId="484C859F"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1" w:type="pct"/>
            <w:gridSpan w:val="3"/>
            <w:tcBorders>
              <w:top w:val="single" w:sz="4" w:space="0" w:color="auto"/>
              <w:left w:val="nil"/>
              <w:bottom w:val="single" w:sz="4" w:space="0" w:color="auto"/>
              <w:right w:val="nil"/>
            </w:tcBorders>
            <w:shd w:val="clear" w:color="auto" w:fill="auto"/>
            <w:hideMark/>
          </w:tcPr>
          <w:p w14:paraId="3AAF0A5D"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 w:type="pct"/>
            <w:tcBorders>
              <w:top w:val="nil"/>
              <w:left w:val="single" w:sz="8" w:space="0" w:color="auto"/>
              <w:bottom w:val="single" w:sz="4" w:space="0" w:color="auto"/>
              <w:right w:val="single" w:sz="8" w:space="0" w:color="auto"/>
            </w:tcBorders>
            <w:shd w:val="clear" w:color="000000" w:fill="000000"/>
            <w:hideMark/>
          </w:tcPr>
          <w:p w14:paraId="682D7750"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6" w:type="pct"/>
            <w:gridSpan w:val="4"/>
            <w:vMerge/>
            <w:tcBorders>
              <w:top w:val="nil"/>
              <w:left w:val="single" w:sz="8" w:space="0" w:color="auto"/>
              <w:bottom w:val="single" w:sz="4" w:space="0" w:color="000000"/>
              <w:right w:val="single" w:sz="4" w:space="0" w:color="auto"/>
            </w:tcBorders>
            <w:vAlign w:val="center"/>
            <w:hideMark/>
          </w:tcPr>
          <w:p w14:paraId="334716A0" w14:textId="77777777" w:rsidR="00AC4220" w:rsidRPr="000A7FD1" w:rsidRDefault="00AC4220" w:rsidP="00AC4220">
            <w:pPr>
              <w:widowControl/>
              <w:adjustRightInd/>
              <w:spacing w:before="0" w:after="0"/>
              <w:textAlignment w:val="auto"/>
              <w:rPr>
                <w:rFonts w:cs="Arial"/>
                <w:color w:val="000000"/>
                <w:sz w:val="18"/>
                <w:szCs w:val="18"/>
              </w:rPr>
            </w:pPr>
          </w:p>
        </w:tc>
        <w:tc>
          <w:tcPr>
            <w:tcW w:w="243" w:type="pct"/>
            <w:tcBorders>
              <w:top w:val="nil"/>
              <w:left w:val="nil"/>
              <w:bottom w:val="single" w:sz="4" w:space="0" w:color="auto"/>
              <w:right w:val="single" w:sz="4" w:space="0" w:color="auto"/>
            </w:tcBorders>
            <w:shd w:val="clear" w:color="000000" w:fill="FFFFFF"/>
            <w:vAlign w:val="center"/>
            <w:hideMark/>
          </w:tcPr>
          <w:p w14:paraId="493BB47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nil"/>
              <w:left w:val="nil"/>
              <w:bottom w:val="single" w:sz="4" w:space="0" w:color="auto"/>
              <w:right w:val="single" w:sz="8" w:space="0" w:color="auto"/>
            </w:tcBorders>
            <w:shd w:val="clear" w:color="000000" w:fill="FFFFFF"/>
            <w:noWrap/>
            <w:vAlign w:val="center"/>
            <w:hideMark/>
          </w:tcPr>
          <w:p w14:paraId="1286355C"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nil"/>
              <w:left w:val="nil"/>
              <w:bottom w:val="single" w:sz="4" w:space="0" w:color="auto"/>
              <w:right w:val="single" w:sz="4" w:space="0" w:color="auto"/>
            </w:tcBorders>
            <w:shd w:val="clear" w:color="000000" w:fill="FFFFFF"/>
            <w:noWrap/>
            <w:vAlign w:val="center"/>
            <w:hideMark/>
          </w:tcPr>
          <w:p w14:paraId="41B9C9E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nil"/>
              <w:left w:val="nil"/>
              <w:bottom w:val="single" w:sz="4" w:space="0" w:color="auto"/>
              <w:right w:val="nil"/>
            </w:tcBorders>
            <w:shd w:val="clear" w:color="000000" w:fill="FFFFFF"/>
            <w:noWrap/>
            <w:vAlign w:val="center"/>
            <w:hideMark/>
          </w:tcPr>
          <w:p w14:paraId="0F82DD8A"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nil"/>
              <w:left w:val="single" w:sz="8" w:space="0" w:color="auto"/>
              <w:bottom w:val="single" w:sz="4" w:space="0" w:color="auto"/>
              <w:right w:val="nil"/>
            </w:tcBorders>
            <w:shd w:val="clear" w:color="000000" w:fill="FFFFFF"/>
            <w:noWrap/>
            <w:vAlign w:val="center"/>
            <w:hideMark/>
          </w:tcPr>
          <w:p w14:paraId="2A79A2F8"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nil"/>
              <w:left w:val="single" w:sz="4" w:space="0" w:color="auto"/>
              <w:bottom w:val="single" w:sz="4" w:space="0" w:color="auto"/>
              <w:right w:val="single" w:sz="4" w:space="0" w:color="auto"/>
            </w:tcBorders>
            <w:shd w:val="clear" w:color="000000" w:fill="FFFFFF"/>
            <w:noWrap/>
            <w:vAlign w:val="center"/>
            <w:hideMark/>
          </w:tcPr>
          <w:p w14:paraId="176DC18A"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nil"/>
              <w:left w:val="nil"/>
              <w:bottom w:val="single" w:sz="4" w:space="0" w:color="auto"/>
              <w:right w:val="single" w:sz="4" w:space="0" w:color="auto"/>
            </w:tcBorders>
            <w:shd w:val="clear" w:color="000000" w:fill="FFFFFF"/>
            <w:vAlign w:val="center"/>
            <w:hideMark/>
          </w:tcPr>
          <w:p w14:paraId="68A67C82"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vMerge/>
            <w:tcBorders>
              <w:top w:val="single" w:sz="4" w:space="0" w:color="auto"/>
              <w:left w:val="single" w:sz="4" w:space="0" w:color="auto"/>
              <w:bottom w:val="single" w:sz="4" w:space="0" w:color="000000"/>
              <w:right w:val="single" w:sz="12" w:space="0" w:color="auto"/>
            </w:tcBorders>
            <w:vAlign w:val="center"/>
            <w:hideMark/>
          </w:tcPr>
          <w:p w14:paraId="56037BF7" w14:textId="77777777" w:rsidR="00AC4220" w:rsidRPr="000A7FD1" w:rsidRDefault="00AC4220" w:rsidP="00AC4220">
            <w:pPr>
              <w:widowControl/>
              <w:adjustRightInd/>
              <w:spacing w:before="0" w:after="0"/>
              <w:textAlignment w:val="auto"/>
              <w:rPr>
                <w:rFonts w:cs="Arial"/>
                <w:color w:val="000000"/>
                <w:sz w:val="18"/>
                <w:szCs w:val="18"/>
              </w:rPr>
            </w:pPr>
          </w:p>
        </w:tc>
      </w:tr>
      <w:tr w:rsidR="00AC010F" w:rsidRPr="000A7FD1" w14:paraId="3A1D90CD" w14:textId="77777777" w:rsidTr="00D13403">
        <w:tblPrEx>
          <w:tblBorders>
            <w:top w:val="none" w:sz="0" w:space="0" w:color="auto"/>
            <w:left w:val="none" w:sz="0" w:space="0" w:color="auto"/>
            <w:bottom w:val="none" w:sz="0" w:space="0" w:color="auto"/>
            <w:right w:val="none" w:sz="0" w:space="0" w:color="auto"/>
          </w:tblBorders>
        </w:tblPrEx>
        <w:trPr>
          <w:trHeight w:val="255"/>
        </w:trPr>
        <w:tc>
          <w:tcPr>
            <w:tcW w:w="410" w:type="pct"/>
            <w:vMerge/>
            <w:tcBorders>
              <w:top w:val="single" w:sz="4" w:space="0" w:color="000000"/>
              <w:left w:val="single" w:sz="12" w:space="0" w:color="auto"/>
              <w:bottom w:val="single" w:sz="8" w:space="0" w:color="auto"/>
              <w:right w:val="single" w:sz="4" w:space="0" w:color="auto"/>
            </w:tcBorders>
            <w:vAlign w:val="center"/>
            <w:hideMark/>
          </w:tcPr>
          <w:p w14:paraId="4292CEF8" w14:textId="77777777" w:rsidR="00AC4220" w:rsidRPr="000A7FD1" w:rsidRDefault="00AC4220" w:rsidP="00AC4220">
            <w:pPr>
              <w:widowControl/>
              <w:adjustRightInd/>
              <w:spacing w:before="0" w:after="0"/>
              <w:textAlignment w:val="auto"/>
              <w:rPr>
                <w:rFonts w:cs="Arial"/>
                <w:color w:val="000000"/>
                <w:sz w:val="18"/>
                <w:szCs w:val="18"/>
              </w:rPr>
            </w:pPr>
          </w:p>
        </w:tc>
        <w:tc>
          <w:tcPr>
            <w:tcW w:w="3228" w:type="pct"/>
            <w:gridSpan w:val="17"/>
            <w:tcBorders>
              <w:top w:val="single" w:sz="4" w:space="0" w:color="auto"/>
              <w:left w:val="nil"/>
              <w:bottom w:val="single" w:sz="8" w:space="0" w:color="auto"/>
              <w:right w:val="single" w:sz="8" w:space="0" w:color="000000"/>
            </w:tcBorders>
            <w:shd w:val="clear" w:color="000000" w:fill="000000"/>
            <w:hideMark/>
          </w:tcPr>
          <w:p w14:paraId="151AE1BA" w14:textId="77777777" w:rsidR="00AC4220" w:rsidRPr="000A7FD1" w:rsidRDefault="00AC4220" w:rsidP="00AC4220">
            <w:pPr>
              <w:widowControl/>
              <w:adjustRightInd/>
              <w:spacing w:before="0" w:after="0"/>
              <w:textAlignment w:val="auto"/>
              <w:rPr>
                <w:rFonts w:cs="Arial"/>
                <w:b/>
                <w:bCs/>
                <w:color w:val="FFFFFF"/>
                <w:sz w:val="18"/>
                <w:szCs w:val="18"/>
              </w:rPr>
            </w:pPr>
            <w:r w:rsidRPr="000A7FD1">
              <w:rPr>
                <w:rFonts w:cs="Arial"/>
                <w:b/>
                <w:bCs/>
                <w:color w:val="FFFFFF"/>
                <w:sz w:val="18"/>
                <w:szCs w:val="18"/>
              </w:rPr>
              <w:t>Line item/account related</w:t>
            </w:r>
          </w:p>
        </w:tc>
        <w:tc>
          <w:tcPr>
            <w:tcW w:w="170" w:type="pct"/>
            <w:tcBorders>
              <w:top w:val="nil"/>
              <w:left w:val="nil"/>
              <w:bottom w:val="single" w:sz="8" w:space="0" w:color="auto"/>
              <w:right w:val="nil"/>
            </w:tcBorders>
            <w:shd w:val="clear" w:color="000000" w:fill="000000"/>
            <w:noWrap/>
            <w:vAlign w:val="bottom"/>
            <w:hideMark/>
          </w:tcPr>
          <w:p w14:paraId="43526A0C"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nil"/>
              <w:left w:val="single" w:sz="8" w:space="0" w:color="auto"/>
              <w:bottom w:val="single" w:sz="8" w:space="0" w:color="auto"/>
              <w:right w:val="nil"/>
            </w:tcBorders>
            <w:shd w:val="clear" w:color="000000" w:fill="000000"/>
            <w:noWrap/>
            <w:vAlign w:val="bottom"/>
            <w:hideMark/>
          </w:tcPr>
          <w:p w14:paraId="4BBB2128"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nil"/>
              <w:left w:val="single" w:sz="4" w:space="0" w:color="auto"/>
              <w:bottom w:val="single" w:sz="8" w:space="0" w:color="auto"/>
              <w:right w:val="nil"/>
            </w:tcBorders>
            <w:shd w:val="clear" w:color="000000" w:fill="000000"/>
            <w:noWrap/>
            <w:vAlign w:val="bottom"/>
            <w:hideMark/>
          </w:tcPr>
          <w:p w14:paraId="64F3CA5B"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nil"/>
              <w:left w:val="nil"/>
              <w:bottom w:val="single" w:sz="8" w:space="0" w:color="auto"/>
              <w:right w:val="nil"/>
            </w:tcBorders>
            <w:shd w:val="clear" w:color="000000" w:fill="000000"/>
            <w:noWrap/>
            <w:vAlign w:val="bottom"/>
            <w:hideMark/>
          </w:tcPr>
          <w:p w14:paraId="77A6E23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tcBorders>
              <w:top w:val="nil"/>
              <w:left w:val="nil"/>
              <w:bottom w:val="single" w:sz="8" w:space="0" w:color="auto"/>
              <w:right w:val="single" w:sz="12" w:space="0" w:color="auto"/>
            </w:tcBorders>
            <w:shd w:val="clear" w:color="000000" w:fill="000000"/>
            <w:noWrap/>
            <w:vAlign w:val="bottom"/>
            <w:hideMark/>
          </w:tcPr>
          <w:p w14:paraId="58406989"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r>
      <w:tr w:rsidR="00AC010F" w:rsidRPr="000A7FD1" w14:paraId="1EFACA7C" w14:textId="77777777" w:rsidTr="00D71ED5">
        <w:tblPrEx>
          <w:tblBorders>
            <w:top w:val="none" w:sz="0" w:space="0" w:color="auto"/>
            <w:left w:val="none" w:sz="0" w:space="0" w:color="auto"/>
            <w:bottom w:val="none" w:sz="0" w:space="0" w:color="auto"/>
            <w:right w:val="none" w:sz="0" w:space="0" w:color="auto"/>
          </w:tblBorders>
        </w:tblPrEx>
        <w:trPr>
          <w:trHeight w:val="3495"/>
        </w:trPr>
        <w:tc>
          <w:tcPr>
            <w:tcW w:w="410" w:type="pct"/>
            <w:vMerge/>
            <w:tcBorders>
              <w:top w:val="single" w:sz="4" w:space="0" w:color="000000"/>
              <w:left w:val="single" w:sz="12" w:space="0" w:color="auto"/>
              <w:bottom w:val="single" w:sz="8" w:space="0" w:color="auto"/>
              <w:right w:val="single" w:sz="4" w:space="0" w:color="auto"/>
            </w:tcBorders>
            <w:vAlign w:val="center"/>
            <w:hideMark/>
          </w:tcPr>
          <w:p w14:paraId="1B48CEC2"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tcBorders>
              <w:top w:val="single" w:sz="8" w:space="0" w:color="auto"/>
              <w:left w:val="nil"/>
              <w:bottom w:val="single" w:sz="8" w:space="0" w:color="auto"/>
              <w:right w:val="nil"/>
            </w:tcBorders>
            <w:shd w:val="clear" w:color="auto" w:fill="auto"/>
            <w:hideMark/>
          </w:tcPr>
          <w:p w14:paraId="5330AA7D"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u w:val="single"/>
              </w:rPr>
              <w:t>Accuracy, valuation, and allocation</w:t>
            </w:r>
            <w:r w:rsidRPr="000A7FD1">
              <w:rPr>
                <w:rFonts w:cs="Arial"/>
                <w:color w:val="000000"/>
                <w:sz w:val="18"/>
                <w:szCs w:val="18"/>
              </w:rPr>
              <w:t>:</w:t>
            </w:r>
            <w:r w:rsidRPr="000A7FD1">
              <w:rPr>
                <w:rFonts w:cs="Arial"/>
                <w:color w:val="000000"/>
                <w:sz w:val="18"/>
                <w:szCs w:val="18"/>
              </w:rPr>
              <w:br/>
              <w:t xml:space="preserve">10. Assets, liabilities, net position, budgetary balances, or projections in the sustainability statements have been included in the financial statements at inappropriate amounts. Resulting valuation or allocation adjustments have not been appropriately recorded. </w:t>
            </w:r>
          </w:p>
        </w:tc>
        <w:tc>
          <w:tcPr>
            <w:tcW w:w="349" w:type="pct"/>
            <w:gridSpan w:val="2"/>
            <w:tcBorders>
              <w:top w:val="single" w:sz="8" w:space="0" w:color="auto"/>
              <w:left w:val="single" w:sz="8" w:space="0" w:color="auto"/>
              <w:bottom w:val="single" w:sz="8" w:space="0" w:color="auto"/>
              <w:right w:val="single" w:sz="4" w:space="0" w:color="auto"/>
            </w:tcBorders>
            <w:shd w:val="clear" w:color="000000" w:fill="FFFFFF"/>
            <w:noWrap/>
            <w:hideMark/>
          </w:tcPr>
          <w:p w14:paraId="0D09583A"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79" w:type="pct"/>
            <w:tcBorders>
              <w:top w:val="single" w:sz="8" w:space="0" w:color="auto"/>
              <w:left w:val="nil"/>
              <w:bottom w:val="single" w:sz="8" w:space="0" w:color="auto"/>
              <w:right w:val="single" w:sz="4" w:space="0" w:color="auto"/>
            </w:tcBorders>
            <w:shd w:val="clear" w:color="auto" w:fill="auto"/>
            <w:hideMark/>
          </w:tcPr>
          <w:p w14:paraId="3A8A623E"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1" w:type="pct"/>
            <w:gridSpan w:val="3"/>
            <w:tcBorders>
              <w:top w:val="single" w:sz="8" w:space="0" w:color="auto"/>
              <w:left w:val="nil"/>
              <w:bottom w:val="single" w:sz="8" w:space="0" w:color="auto"/>
              <w:right w:val="single" w:sz="8" w:space="0" w:color="auto"/>
            </w:tcBorders>
            <w:shd w:val="clear" w:color="auto" w:fill="auto"/>
            <w:hideMark/>
          </w:tcPr>
          <w:p w14:paraId="69E7AEB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 w:type="pct"/>
            <w:tcBorders>
              <w:top w:val="single" w:sz="8" w:space="0" w:color="auto"/>
              <w:left w:val="nil"/>
              <w:bottom w:val="single" w:sz="8" w:space="0" w:color="auto"/>
              <w:right w:val="nil"/>
            </w:tcBorders>
            <w:shd w:val="clear" w:color="000000" w:fill="000000"/>
            <w:hideMark/>
          </w:tcPr>
          <w:p w14:paraId="7826027C"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6" w:type="pct"/>
            <w:gridSpan w:val="4"/>
            <w:tcBorders>
              <w:top w:val="single" w:sz="8" w:space="0" w:color="auto"/>
              <w:left w:val="single" w:sz="8" w:space="0" w:color="auto"/>
              <w:bottom w:val="single" w:sz="8" w:space="0" w:color="auto"/>
              <w:right w:val="single" w:sz="4" w:space="0" w:color="auto"/>
            </w:tcBorders>
            <w:shd w:val="clear" w:color="000000" w:fill="FFFFFF"/>
            <w:hideMark/>
          </w:tcPr>
          <w:p w14:paraId="653A39BE"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xml:space="preserve">10. Assets, liabilities, net position, budgetary balances, and projections in the sustainability statements have been included in the financial statements at appropriate amounts, and any resulting valuation or allocation adjustments have been appropriately recorded. </w:t>
            </w:r>
          </w:p>
        </w:tc>
        <w:tc>
          <w:tcPr>
            <w:tcW w:w="243" w:type="pct"/>
            <w:tcBorders>
              <w:top w:val="single" w:sz="8" w:space="0" w:color="auto"/>
              <w:left w:val="nil"/>
              <w:bottom w:val="single" w:sz="8" w:space="0" w:color="auto"/>
              <w:right w:val="nil"/>
            </w:tcBorders>
            <w:shd w:val="clear" w:color="000000" w:fill="FFFFFF"/>
            <w:vAlign w:val="center"/>
            <w:hideMark/>
          </w:tcPr>
          <w:p w14:paraId="05C6210B"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single" w:sz="8" w:space="0" w:color="auto"/>
              <w:left w:val="single" w:sz="4" w:space="0" w:color="auto"/>
              <w:bottom w:val="single" w:sz="8" w:space="0" w:color="auto"/>
              <w:right w:val="single" w:sz="8" w:space="0" w:color="auto"/>
            </w:tcBorders>
            <w:shd w:val="clear" w:color="000000" w:fill="FFFFFF"/>
            <w:noWrap/>
            <w:vAlign w:val="center"/>
            <w:hideMark/>
          </w:tcPr>
          <w:p w14:paraId="1CEE4F82"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single" w:sz="8" w:space="0" w:color="auto"/>
              <w:left w:val="nil"/>
              <w:bottom w:val="single" w:sz="8" w:space="0" w:color="auto"/>
              <w:right w:val="single" w:sz="4" w:space="0" w:color="auto"/>
            </w:tcBorders>
            <w:shd w:val="clear" w:color="000000" w:fill="FFFFFF"/>
            <w:noWrap/>
            <w:vAlign w:val="center"/>
            <w:hideMark/>
          </w:tcPr>
          <w:p w14:paraId="7D6CDDA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single" w:sz="8" w:space="0" w:color="auto"/>
              <w:left w:val="nil"/>
              <w:bottom w:val="single" w:sz="8" w:space="0" w:color="auto"/>
              <w:right w:val="single" w:sz="8" w:space="0" w:color="auto"/>
            </w:tcBorders>
            <w:shd w:val="clear" w:color="000000" w:fill="FFFFFF"/>
            <w:noWrap/>
            <w:vAlign w:val="center"/>
            <w:hideMark/>
          </w:tcPr>
          <w:p w14:paraId="54804F0C"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single" w:sz="8" w:space="0" w:color="auto"/>
              <w:left w:val="nil"/>
              <w:bottom w:val="single" w:sz="8" w:space="0" w:color="auto"/>
              <w:right w:val="nil"/>
            </w:tcBorders>
            <w:shd w:val="clear" w:color="000000" w:fill="FFFFFF"/>
            <w:noWrap/>
            <w:vAlign w:val="center"/>
            <w:hideMark/>
          </w:tcPr>
          <w:p w14:paraId="5965511B"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single" w:sz="8" w:space="0" w:color="auto"/>
              <w:left w:val="single" w:sz="4" w:space="0" w:color="auto"/>
              <w:bottom w:val="single" w:sz="8" w:space="0" w:color="auto"/>
              <w:right w:val="nil"/>
            </w:tcBorders>
            <w:shd w:val="clear" w:color="000000" w:fill="FFFFFF"/>
            <w:noWrap/>
            <w:vAlign w:val="center"/>
            <w:hideMark/>
          </w:tcPr>
          <w:p w14:paraId="1EE5592B"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single" w:sz="8" w:space="0" w:color="auto"/>
              <w:left w:val="single" w:sz="4" w:space="0" w:color="auto"/>
              <w:bottom w:val="single" w:sz="8" w:space="0" w:color="auto"/>
              <w:right w:val="single" w:sz="4" w:space="0" w:color="auto"/>
            </w:tcBorders>
            <w:shd w:val="clear" w:color="000000" w:fill="FFFFFF"/>
            <w:vAlign w:val="center"/>
            <w:hideMark/>
          </w:tcPr>
          <w:p w14:paraId="5F9A90B9"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tcBorders>
              <w:top w:val="single" w:sz="8" w:space="0" w:color="auto"/>
              <w:left w:val="nil"/>
              <w:bottom w:val="single" w:sz="8" w:space="0" w:color="auto"/>
              <w:right w:val="single" w:sz="12" w:space="0" w:color="auto"/>
            </w:tcBorders>
            <w:shd w:val="clear" w:color="000000" w:fill="FFFFFF"/>
            <w:vAlign w:val="center"/>
            <w:hideMark/>
          </w:tcPr>
          <w:p w14:paraId="47AEFBB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r>
      <w:tr w:rsidR="00AC010F" w:rsidRPr="000A7FD1" w14:paraId="5B9B47E5" w14:textId="77777777" w:rsidTr="00D71ED5">
        <w:tblPrEx>
          <w:tblBorders>
            <w:top w:val="none" w:sz="0" w:space="0" w:color="auto"/>
            <w:left w:val="none" w:sz="0" w:space="0" w:color="auto"/>
            <w:bottom w:val="none" w:sz="0" w:space="0" w:color="auto"/>
            <w:right w:val="none" w:sz="0" w:space="0" w:color="auto"/>
          </w:tblBorders>
        </w:tblPrEx>
        <w:trPr>
          <w:trHeight w:val="2104"/>
        </w:trPr>
        <w:tc>
          <w:tcPr>
            <w:tcW w:w="410" w:type="pct"/>
            <w:vMerge/>
            <w:tcBorders>
              <w:top w:val="single" w:sz="4" w:space="0" w:color="000000"/>
              <w:left w:val="single" w:sz="12" w:space="0" w:color="auto"/>
              <w:bottom w:val="single" w:sz="8" w:space="0" w:color="auto"/>
              <w:right w:val="single" w:sz="4" w:space="0" w:color="auto"/>
            </w:tcBorders>
            <w:vAlign w:val="center"/>
            <w:hideMark/>
          </w:tcPr>
          <w:p w14:paraId="1636C354"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tcBorders>
              <w:top w:val="single" w:sz="8" w:space="0" w:color="auto"/>
              <w:left w:val="nil"/>
              <w:bottom w:val="single" w:sz="4" w:space="0" w:color="auto"/>
              <w:right w:val="nil"/>
            </w:tcBorders>
            <w:shd w:val="clear" w:color="auto" w:fill="auto"/>
            <w:hideMark/>
          </w:tcPr>
          <w:p w14:paraId="4DF01D8B"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u w:val="single"/>
              </w:rPr>
              <w:t>Measurement</w:t>
            </w:r>
            <w:r w:rsidRPr="000A7FD1">
              <w:rPr>
                <w:rFonts w:cs="Arial"/>
                <w:color w:val="000000"/>
                <w:sz w:val="18"/>
                <w:szCs w:val="18"/>
              </w:rPr>
              <w:t>:</w:t>
            </w:r>
            <w:r w:rsidRPr="000A7FD1">
              <w:rPr>
                <w:rFonts w:cs="Arial"/>
                <w:color w:val="000000"/>
                <w:sz w:val="18"/>
                <w:szCs w:val="18"/>
              </w:rPr>
              <w:br/>
              <w:t>11. Revenues, expenses, and budgetary activity included in the financial statements are measured improperly.</w:t>
            </w:r>
          </w:p>
        </w:tc>
        <w:tc>
          <w:tcPr>
            <w:tcW w:w="349" w:type="pct"/>
            <w:gridSpan w:val="2"/>
            <w:tcBorders>
              <w:top w:val="single" w:sz="8" w:space="0" w:color="auto"/>
              <w:left w:val="single" w:sz="8" w:space="0" w:color="auto"/>
              <w:bottom w:val="nil"/>
              <w:right w:val="single" w:sz="4" w:space="0" w:color="auto"/>
            </w:tcBorders>
            <w:shd w:val="clear" w:color="000000" w:fill="FFFFFF"/>
            <w:noWrap/>
            <w:hideMark/>
          </w:tcPr>
          <w:p w14:paraId="0FAA47E6"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79" w:type="pct"/>
            <w:tcBorders>
              <w:top w:val="single" w:sz="8" w:space="0" w:color="auto"/>
              <w:left w:val="nil"/>
              <w:bottom w:val="single" w:sz="4" w:space="0" w:color="auto"/>
              <w:right w:val="single" w:sz="4" w:space="0" w:color="auto"/>
            </w:tcBorders>
            <w:shd w:val="clear" w:color="auto" w:fill="auto"/>
            <w:hideMark/>
          </w:tcPr>
          <w:p w14:paraId="1294F356"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1" w:type="pct"/>
            <w:gridSpan w:val="3"/>
            <w:tcBorders>
              <w:top w:val="single" w:sz="8" w:space="0" w:color="auto"/>
              <w:left w:val="nil"/>
              <w:bottom w:val="single" w:sz="4" w:space="0" w:color="auto"/>
              <w:right w:val="single" w:sz="8" w:space="0" w:color="auto"/>
            </w:tcBorders>
            <w:shd w:val="clear" w:color="auto" w:fill="auto"/>
            <w:hideMark/>
          </w:tcPr>
          <w:p w14:paraId="7747E73B"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 w:type="pct"/>
            <w:tcBorders>
              <w:top w:val="single" w:sz="8" w:space="0" w:color="auto"/>
              <w:left w:val="nil"/>
              <w:bottom w:val="single" w:sz="4" w:space="0" w:color="auto"/>
              <w:right w:val="nil"/>
            </w:tcBorders>
            <w:shd w:val="clear" w:color="000000" w:fill="000000"/>
            <w:hideMark/>
          </w:tcPr>
          <w:p w14:paraId="1C7EBD18"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6" w:type="pct"/>
            <w:gridSpan w:val="4"/>
            <w:tcBorders>
              <w:top w:val="single" w:sz="8" w:space="0" w:color="auto"/>
              <w:left w:val="single" w:sz="8" w:space="0" w:color="auto"/>
              <w:bottom w:val="single" w:sz="4" w:space="0" w:color="auto"/>
              <w:right w:val="single" w:sz="4" w:space="0" w:color="auto"/>
            </w:tcBorders>
            <w:shd w:val="clear" w:color="000000" w:fill="FFFFFF"/>
            <w:hideMark/>
          </w:tcPr>
          <w:p w14:paraId="45290288"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11. Revenues, expenses, and budgetary activity included in the financial statements are measured properly.</w:t>
            </w:r>
          </w:p>
        </w:tc>
        <w:tc>
          <w:tcPr>
            <w:tcW w:w="243" w:type="pct"/>
            <w:tcBorders>
              <w:top w:val="single" w:sz="8" w:space="0" w:color="auto"/>
              <w:left w:val="nil"/>
              <w:bottom w:val="nil"/>
              <w:right w:val="nil"/>
            </w:tcBorders>
            <w:shd w:val="clear" w:color="000000" w:fill="FFFFFF"/>
            <w:vAlign w:val="center"/>
            <w:hideMark/>
          </w:tcPr>
          <w:p w14:paraId="5152F9D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single" w:sz="8" w:space="0" w:color="auto"/>
              <w:left w:val="single" w:sz="4" w:space="0" w:color="auto"/>
              <w:bottom w:val="nil"/>
              <w:right w:val="single" w:sz="8" w:space="0" w:color="auto"/>
            </w:tcBorders>
            <w:shd w:val="clear" w:color="000000" w:fill="FFFFFF"/>
            <w:noWrap/>
            <w:vAlign w:val="center"/>
            <w:hideMark/>
          </w:tcPr>
          <w:p w14:paraId="77469BAB"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single" w:sz="8" w:space="0" w:color="auto"/>
              <w:left w:val="nil"/>
              <w:bottom w:val="nil"/>
              <w:right w:val="single" w:sz="4" w:space="0" w:color="auto"/>
            </w:tcBorders>
            <w:shd w:val="clear" w:color="000000" w:fill="FFFFFF"/>
            <w:noWrap/>
            <w:vAlign w:val="center"/>
            <w:hideMark/>
          </w:tcPr>
          <w:p w14:paraId="6ACED9AB"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single" w:sz="8" w:space="0" w:color="auto"/>
              <w:left w:val="nil"/>
              <w:bottom w:val="nil"/>
              <w:right w:val="single" w:sz="8" w:space="0" w:color="auto"/>
            </w:tcBorders>
            <w:shd w:val="clear" w:color="000000" w:fill="FFFFFF"/>
            <w:noWrap/>
            <w:vAlign w:val="center"/>
            <w:hideMark/>
          </w:tcPr>
          <w:p w14:paraId="1C815A5A"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single" w:sz="8" w:space="0" w:color="auto"/>
              <w:left w:val="nil"/>
              <w:bottom w:val="nil"/>
              <w:right w:val="nil"/>
            </w:tcBorders>
            <w:shd w:val="clear" w:color="000000" w:fill="FFFFFF"/>
            <w:noWrap/>
            <w:vAlign w:val="center"/>
            <w:hideMark/>
          </w:tcPr>
          <w:p w14:paraId="2973F17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single" w:sz="8" w:space="0" w:color="auto"/>
              <w:left w:val="single" w:sz="4" w:space="0" w:color="auto"/>
              <w:bottom w:val="nil"/>
              <w:right w:val="nil"/>
            </w:tcBorders>
            <w:shd w:val="clear" w:color="000000" w:fill="FFFFFF"/>
            <w:noWrap/>
            <w:vAlign w:val="center"/>
            <w:hideMark/>
          </w:tcPr>
          <w:p w14:paraId="6002E946"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single" w:sz="8" w:space="0" w:color="auto"/>
              <w:left w:val="single" w:sz="4" w:space="0" w:color="auto"/>
              <w:bottom w:val="single" w:sz="4" w:space="0" w:color="auto"/>
              <w:right w:val="single" w:sz="4" w:space="0" w:color="auto"/>
            </w:tcBorders>
            <w:shd w:val="clear" w:color="000000" w:fill="FFFFFF"/>
            <w:vAlign w:val="center"/>
            <w:hideMark/>
          </w:tcPr>
          <w:p w14:paraId="6ABBFF1D"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tcBorders>
              <w:top w:val="single" w:sz="8" w:space="0" w:color="auto"/>
              <w:left w:val="nil"/>
              <w:bottom w:val="single" w:sz="4" w:space="0" w:color="auto"/>
              <w:right w:val="single" w:sz="12" w:space="0" w:color="auto"/>
            </w:tcBorders>
            <w:shd w:val="clear" w:color="000000" w:fill="FFFFFF"/>
            <w:vAlign w:val="center"/>
            <w:hideMark/>
          </w:tcPr>
          <w:p w14:paraId="4936EFD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r>
      <w:tr w:rsidR="00AC010F" w:rsidRPr="000A7FD1" w14:paraId="4A30BB47" w14:textId="77777777" w:rsidTr="00D13403">
        <w:tblPrEx>
          <w:tblBorders>
            <w:top w:val="none" w:sz="0" w:space="0" w:color="auto"/>
            <w:left w:val="none" w:sz="0" w:space="0" w:color="auto"/>
            <w:bottom w:val="none" w:sz="0" w:space="0" w:color="auto"/>
            <w:right w:val="none" w:sz="0" w:space="0" w:color="auto"/>
          </w:tblBorders>
        </w:tblPrEx>
        <w:trPr>
          <w:trHeight w:val="255"/>
        </w:trPr>
        <w:tc>
          <w:tcPr>
            <w:tcW w:w="410" w:type="pct"/>
            <w:vMerge w:val="restart"/>
            <w:tcBorders>
              <w:top w:val="single" w:sz="8" w:space="0" w:color="auto"/>
              <w:left w:val="single" w:sz="12" w:space="0" w:color="auto"/>
              <w:bottom w:val="single" w:sz="4" w:space="0" w:color="000000"/>
              <w:right w:val="single" w:sz="4" w:space="0" w:color="auto"/>
            </w:tcBorders>
            <w:shd w:val="clear" w:color="000000" w:fill="FFFFFF"/>
            <w:hideMark/>
          </w:tcPr>
          <w:p w14:paraId="6F21F8A6"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Rights and Obligations</w:t>
            </w:r>
          </w:p>
        </w:tc>
        <w:tc>
          <w:tcPr>
            <w:tcW w:w="3228" w:type="pct"/>
            <w:gridSpan w:val="17"/>
            <w:tcBorders>
              <w:top w:val="single" w:sz="4" w:space="0" w:color="auto"/>
              <w:left w:val="nil"/>
              <w:bottom w:val="single" w:sz="4" w:space="0" w:color="auto"/>
              <w:right w:val="single" w:sz="8" w:space="0" w:color="000000"/>
            </w:tcBorders>
            <w:shd w:val="clear" w:color="000000" w:fill="000000"/>
            <w:hideMark/>
          </w:tcPr>
          <w:p w14:paraId="054CFE0E" w14:textId="77777777" w:rsidR="00AC4220" w:rsidRPr="000A7FD1" w:rsidRDefault="00AC4220" w:rsidP="00AC4220">
            <w:pPr>
              <w:widowControl/>
              <w:adjustRightInd/>
              <w:spacing w:before="0" w:after="0"/>
              <w:textAlignment w:val="auto"/>
              <w:rPr>
                <w:rFonts w:cs="Arial"/>
                <w:b/>
                <w:bCs/>
                <w:color w:val="FFFFFF"/>
                <w:sz w:val="18"/>
                <w:szCs w:val="18"/>
              </w:rPr>
            </w:pPr>
            <w:r w:rsidRPr="000A7FD1">
              <w:rPr>
                <w:rFonts w:cs="Arial"/>
                <w:b/>
                <w:bCs/>
                <w:color w:val="FFFFFF"/>
                <w:sz w:val="18"/>
                <w:szCs w:val="18"/>
              </w:rPr>
              <w:t>Line item/account related</w:t>
            </w:r>
          </w:p>
        </w:tc>
        <w:tc>
          <w:tcPr>
            <w:tcW w:w="170" w:type="pct"/>
            <w:tcBorders>
              <w:top w:val="nil"/>
              <w:left w:val="nil"/>
              <w:bottom w:val="nil"/>
              <w:right w:val="nil"/>
            </w:tcBorders>
            <w:shd w:val="clear" w:color="000000" w:fill="000000"/>
            <w:noWrap/>
            <w:vAlign w:val="bottom"/>
            <w:hideMark/>
          </w:tcPr>
          <w:p w14:paraId="75BB1B66"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nil"/>
              <w:left w:val="single" w:sz="8" w:space="0" w:color="auto"/>
              <w:bottom w:val="single" w:sz="4" w:space="0" w:color="auto"/>
              <w:right w:val="nil"/>
            </w:tcBorders>
            <w:shd w:val="clear" w:color="000000" w:fill="000000"/>
            <w:noWrap/>
            <w:vAlign w:val="bottom"/>
            <w:hideMark/>
          </w:tcPr>
          <w:p w14:paraId="261720BA"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nil"/>
              <w:left w:val="single" w:sz="4" w:space="0" w:color="auto"/>
              <w:bottom w:val="single" w:sz="4" w:space="0" w:color="auto"/>
              <w:right w:val="nil"/>
            </w:tcBorders>
            <w:shd w:val="clear" w:color="000000" w:fill="000000"/>
            <w:noWrap/>
            <w:vAlign w:val="bottom"/>
            <w:hideMark/>
          </w:tcPr>
          <w:p w14:paraId="604F3F08"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nil"/>
              <w:left w:val="nil"/>
              <w:bottom w:val="single" w:sz="4" w:space="0" w:color="auto"/>
              <w:right w:val="nil"/>
            </w:tcBorders>
            <w:shd w:val="clear" w:color="000000" w:fill="000000"/>
            <w:noWrap/>
            <w:vAlign w:val="bottom"/>
            <w:hideMark/>
          </w:tcPr>
          <w:p w14:paraId="5B321056"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tcBorders>
              <w:top w:val="nil"/>
              <w:left w:val="nil"/>
              <w:bottom w:val="single" w:sz="4" w:space="0" w:color="auto"/>
              <w:right w:val="single" w:sz="12" w:space="0" w:color="auto"/>
            </w:tcBorders>
            <w:shd w:val="clear" w:color="000000" w:fill="000000"/>
            <w:noWrap/>
            <w:vAlign w:val="bottom"/>
            <w:hideMark/>
          </w:tcPr>
          <w:p w14:paraId="2AA9ABCE"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r>
      <w:tr w:rsidR="00AC010F" w:rsidRPr="000A7FD1" w14:paraId="34152822" w14:textId="77777777" w:rsidTr="00D71ED5">
        <w:tblPrEx>
          <w:tblBorders>
            <w:top w:val="none" w:sz="0" w:space="0" w:color="auto"/>
            <w:left w:val="none" w:sz="0" w:space="0" w:color="auto"/>
            <w:bottom w:val="none" w:sz="0" w:space="0" w:color="auto"/>
            <w:right w:val="none" w:sz="0" w:space="0" w:color="auto"/>
          </w:tblBorders>
        </w:tblPrEx>
        <w:trPr>
          <w:trHeight w:val="1871"/>
        </w:trPr>
        <w:tc>
          <w:tcPr>
            <w:tcW w:w="410" w:type="pct"/>
            <w:vMerge/>
            <w:tcBorders>
              <w:top w:val="nil"/>
              <w:left w:val="single" w:sz="12" w:space="0" w:color="auto"/>
              <w:bottom w:val="single" w:sz="4" w:space="0" w:color="000000"/>
              <w:right w:val="single" w:sz="4" w:space="0" w:color="auto"/>
            </w:tcBorders>
            <w:vAlign w:val="center"/>
            <w:hideMark/>
          </w:tcPr>
          <w:p w14:paraId="4A8D6A89"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tcBorders>
              <w:top w:val="nil"/>
              <w:left w:val="nil"/>
              <w:bottom w:val="single" w:sz="8" w:space="0" w:color="auto"/>
              <w:right w:val="nil"/>
            </w:tcBorders>
            <w:shd w:val="clear" w:color="auto" w:fill="auto"/>
            <w:hideMark/>
          </w:tcPr>
          <w:p w14:paraId="2E3CD82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u w:val="single"/>
              </w:rPr>
              <w:t>Ownership</w:t>
            </w:r>
            <w:r w:rsidRPr="000A7FD1">
              <w:rPr>
                <w:rFonts w:cs="Arial"/>
                <w:color w:val="000000"/>
                <w:sz w:val="18"/>
                <w:szCs w:val="18"/>
              </w:rPr>
              <w:t>:</w:t>
            </w:r>
            <w:r w:rsidRPr="000A7FD1">
              <w:rPr>
                <w:rFonts w:cs="Arial"/>
                <w:color w:val="000000"/>
                <w:sz w:val="18"/>
                <w:szCs w:val="18"/>
              </w:rPr>
              <w:br/>
              <w:t>12. Recorded assets are owned by others because of sale, consignment, or other contractual arrangements.</w:t>
            </w:r>
          </w:p>
        </w:tc>
        <w:tc>
          <w:tcPr>
            <w:tcW w:w="349" w:type="pct"/>
            <w:gridSpan w:val="2"/>
            <w:tcBorders>
              <w:top w:val="nil"/>
              <w:left w:val="single" w:sz="8" w:space="0" w:color="auto"/>
              <w:bottom w:val="single" w:sz="8" w:space="0" w:color="auto"/>
              <w:right w:val="single" w:sz="4" w:space="0" w:color="auto"/>
            </w:tcBorders>
            <w:shd w:val="clear" w:color="000000" w:fill="FFFFFF"/>
            <w:noWrap/>
            <w:hideMark/>
          </w:tcPr>
          <w:p w14:paraId="6F3CDD2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79" w:type="pct"/>
            <w:tcBorders>
              <w:top w:val="nil"/>
              <w:left w:val="nil"/>
              <w:bottom w:val="single" w:sz="8" w:space="0" w:color="auto"/>
              <w:right w:val="single" w:sz="4" w:space="0" w:color="auto"/>
            </w:tcBorders>
            <w:shd w:val="clear" w:color="auto" w:fill="auto"/>
            <w:hideMark/>
          </w:tcPr>
          <w:p w14:paraId="0CFC251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1" w:type="pct"/>
            <w:gridSpan w:val="3"/>
            <w:tcBorders>
              <w:top w:val="nil"/>
              <w:left w:val="nil"/>
              <w:bottom w:val="single" w:sz="8" w:space="0" w:color="auto"/>
              <w:right w:val="single" w:sz="8" w:space="0" w:color="auto"/>
            </w:tcBorders>
            <w:shd w:val="clear" w:color="auto" w:fill="auto"/>
            <w:hideMark/>
          </w:tcPr>
          <w:p w14:paraId="40279EA0"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 w:type="pct"/>
            <w:tcBorders>
              <w:top w:val="nil"/>
              <w:left w:val="nil"/>
              <w:bottom w:val="single" w:sz="8" w:space="0" w:color="auto"/>
              <w:right w:val="nil"/>
            </w:tcBorders>
            <w:shd w:val="clear" w:color="000000" w:fill="000000"/>
            <w:hideMark/>
          </w:tcPr>
          <w:p w14:paraId="4AFD2D9A"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6" w:type="pct"/>
            <w:gridSpan w:val="4"/>
            <w:tcBorders>
              <w:top w:val="nil"/>
              <w:left w:val="single" w:sz="8" w:space="0" w:color="auto"/>
              <w:bottom w:val="single" w:sz="8" w:space="0" w:color="auto"/>
              <w:right w:val="single" w:sz="4" w:space="0" w:color="auto"/>
            </w:tcBorders>
            <w:shd w:val="clear" w:color="000000" w:fill="FFFFFF"/>
            <w:hideMark/>
          </w:tcPr>
          <w:p w14:paraId="6DCB3FBD"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12. The entity owns (i.e., has valid title to) recorded assets.</w:t>
            </w:r>
          </w:p>
        </w:tc>
        <w:tc>
          <w:tcPr>
            <w:tcW w:w="243" w:type="pct"/>
            <w:tcBorders>
              <w:top w:val="nil"/>
              <w:left w:val="nil"/>
              <w:bottom w:val="single" w:sz="8" w:space="0" w:color="auto"/>
              <w:right w:val="nil"/>
            </w:tcBorders>
            <w:shd w:val="clear" w:color="000000" w:fill="FFFFFF"/>
            <w:vAlign w:val="center"/>
            <w:hideMark/>
          </w:tcPr>
          <w:p w14:paraId="29592ADA"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nil"/>
              <w:left w:val="single" w:sz="4" w:space="0" w:color="auto"/>
              <w:bottom w:val="single" w:sz="8" w:space="0" w:color="auto"/>
              <w:right w:val="single" w:sz="8" w:space="0" w:color="auto"/>
            </w:tcBorders>
            <w:shd w:val="clear" w:color="000000" w:fill="FFFFFF"/>
            <w:noWrap/>
            <w:vAlign w:val="center"/>
            <w:hideMark/>
          </w:tcPr>
          <w:p w14:paraId="5CCDA3F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nil"/>
              <w:left w:val="nil"/>
              <w:bottom w:val="single" w:sz="8" w:space="0" w:color="auto"/>
              <w:right w:val="single" w:sz="4" w:space="0" w:color="auto"/>
            </w:tcBorders>
            <w:shd w:val="clear" w:color="000000" w:fill="FFFFFF"/>
            <w:noWrap/>
            <w:vAlign w:val="center"/>
            <w:hideMark/>
          </w:tcPr>
          <w:p w14:paraId="5818327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single" w:sz="4" w:space="0" w:color="auto"/>
              <w:left w:val="nil"/>
              <w:bottom w:val="single" w:sz="8" w:space="0" w:color="auto"/>
              <w:right w:val="single" w:sz="8" w:space="0" w:color="auto"/>
            </w:tcBorders>
            <w:shd w:val="clear" w:color="000000" w:fill="FFFFFF"/>
            <w:noWrap/>
            <w:vAlign w:val="center"/>
            <w:hideMark/>
          </w:tcPr>
          <w:p w14:paraId="3354E31C"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nil"/>
              <w:left w:val="nil"/>
              <w:bottom w:val="single" w:sz="8" w:space="0" w:color="auto"/>
              <w:right w:val="nil"/>
            </w:tcBorders>
            <w:shd w:val="clear" w:color="000000" w:fill="FFFFFF"/>
            <w:noWrap/>
            <w:vAlign w:val="center"/>
            <w:hideMark/>
          </w:tcPr>
          <w:p w14:paraId="5A9987E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nil"/>
              <w:left w:val="single" w:sz="4" w:space="0" w:color="auto"/>
              <w:bottom w:val="single" w:sz="8" w:space="0" w:color="auto"/>
              <w:right w:val="nil"/>
            </w:tcBorders>
            <w:shd w:val="clear" w:color="000000" w:fill="FFFFFF"/>
            <w:noWrap/>
            <w:vAlign w:val="center"/>
            <w:hideMark/>
          </w:tcPr>
          <w:p w14:paraId="4EFEB35B"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nil"/>
              <w:left w:val="single" w:sz="4" w:space="0" w:color="auto"/>
              <w:bottom w:val="single" w:sz="8" w:space="0" w:color="auto"/>
              <w:right w:val="single" w:sz="4" w:space="0" w:color="auto"/>
            </w:tcBorders>
            <w:shd w:val="clear" w:color="000000" w:fill="FFFFFF"/>
            <w:vAlign w:val="center"/>
            <w:hideMark/>
          </w:tcPr>
          <w:p w14:paraId="1C338420"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tcBorders>
              <w:top w:val="nil"/>
              <w:left w:val="nil"/>
              <w:bottom w:val="single" w:sz="8" w:space="0" w:color="auto"/>
              <w:right w:val="single" w:sz="12" w:space="0" w:color="auto"/>
            </w:tcBorders>
            <w:shd w:val="clear" w:color="000000" w:fill="FFFFFF"/>
            <w:vAlign w:val="center"/>
            <w:hideMark/>
          </w:tcPr>
          <w:p w14:paraId="7F607FD6"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r>
      <w:tr w:rsidR="00AC010F" w:rsidRPr="000A7FD1" w14:paraId="40E506DA" w14:textId="77777777" w:rsidTr="00FA2D9D">
        <w:tblPrEx>
          <w:tblBorders>
            <w:top w:val="none" w:sz="0" w:space="0" w:color="auto"/>
            <w:left w:val="none" w:sz="0" w:space="0" w:color="auto"/>
            <w:bottom w:val="none" w:sz="0" w:space="0" w:color="auto"/>
            <w:right w:val="none" w:sz="0" w:space="0" w:color="auto"/>
          </w:tblBorders>
        </w:tblPrEx>
        <w:trPr>
          <w:trHeight w:val="2140"/>
        </w:trPr>
        <w:tc>
          <w:tcPr>
            <w:tcW w:w="410" w:type="pct"/>
            <w:vMerge/>
            <w:tcBorders>
              <w:top w:val="nil"/>
              <w:left w:val="single" w:sz="12" w:space="0" w:color="auto"/>
              <w:bottom w:val="single" w:sz="4" w:space="0" w:color="000000"/>
              <w:right w:val="single" w:sz="4" w:space="0" w:color="auto"/>
            </w:tcBorders>
            <w:vAlign w:val="center"/>
            <w:hideMark/>
          </w:tcPr>
          <w:p w14:paraId="2AB16FB4"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tcBorders>
              <w:top w:val="single" w:sz="8" w:space="0" w:color="auto"/>
              <w:left w:val="nil"/>
              <w:bottom w:val="single" w:sz="4" w:space="0" w:color="auto"/>
              <w:right w:val="nil"/>
            </w:tcBorders>
            <w:shd w:val="clear" w:color="auto" w:fill="auto"/>
            <w:hideMark/>
          </w:tcPr>
          <w:p w14:paraId="74170D9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u w:val="single"/>
              </w:rPr>
              <w:t>Rights</w:t>
            </w:r>
            <w:r w:rsidRPr="000A7FD1">
              <w:rPr>
                <w:rFonts w:cs="Arial"/>
                <w:color w:val="000000"/>
                <w:sz w:val="18"/>
                <w:szCs w:val="18"/>
              </w:rPr>
              <w:t>:</w:t>
            </w:r>
            <w:r w:rsidRPr="000A7FD1">
              <w:rPr>
                <w:rFonts w:cs="Arial"/>
                <w:color w:val="000000"/>
                <w:sz w:val="18"/>
                <w:szCs w:val="18"/>
              </w:rPr>
              <w:br/>
              <w:t>13. The entity does not hold or control the rights to recorded assets or budgetary resources because of liens, pledges, or other restrictions.</w:t>
            </w:r>
          </w:p>
        </w:tc>
        <w:tc>
          <w:tcPr>
            <w:tcW w:w="349" w:type="pct"/>
            <w:gridSpan w:val="2"/>
            <w:tcBorders>
              <w:top w:val="single" w:sz="8" w:space="0" w:color="auto"/>
              <w:left w:val="single" w:sz="8" w:space="0" w:color="auto"/>
              <w:bottom w:val="single" w:sz="4" w:space="0" w:color="auto"/>
              <w:right w:val="single" w:sz="4" w:space="0" w:color="auto"/>
            </w:tcBorders>
            <w:shd w:val="clear" w:color="000000" w:fill="FFFFFF"/>
            <w:noWrap/>
            <w:hideMark/>
          </w:tcPr>
          <w:p w14:paraId="3370C1A8"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79" w:type="pct"/>
            <w:tcBorders>
              <w:top w:val="single" w:sz="8" w:space="0" w:color="auto"/>
              <w:left w:val="nil"/>
              <w:bottom w:val="single" w:sz="4" w:space="0" w:color="auto"/>
              <w:right w:val="single" w:sz="4" w:space="0" w:color="auto"/>
            </w:tcBorders>
            <w:shd w:val="clear" w:color="auto" w:fill="auto"/>
            <w:hideMark/>
          </w:tcPr>
          <w:p w14:paraId="07C20A40"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1" w:type="pct"/>
            <w:gridSpan w:val="3"/>
            <w:tcBorders>
              <w:top w:val="single" w:sz="8" w:space="0" w:color="auto"/>
              <w:left w:val="nil"/>
              <w:bottom w:val="single" w:sz="4" w:space="0" w:color="auto"/>
              <w:right w:val="single" w:sz="8" w:space="0" w:color="auto"/>
            </w:tcBorders>
            <w:shd w:val="clear" w:color="auto" w:fill="auto"/>
            <w:hideMark/>
          </w:tcPr>
          <w:p w14:paraId="3A0FDFEA"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 w:type="pct"/>
            <w:tcBorders>
              <w:top w:val="single" w:sz="8" w:space="0" w:color="auto"/>
              <w:left w:val="nil"/>
              <w:bottom w:val="single" w:sz="4" w:space="0" w:color="auto"/>
              <w:right w:val="nil"/>
            </w:tcBorders>
            <w:shd w:val="clear" w:color="000000" w:fill="000000"/>
            <w:hideMark/>
          </w:tcPr>
          <w:p w14:paraId="0E0DE35C"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6" w:type="pct"/>
            <w:gridSpan w:val="4"/>
            <w:tcBorders>
              <w:top w:val="single" w:sz="8" w:space="0" w:color="auto"/>
              <w:left w:val="single" w:sz="8" w:space="0" w:color="auto"/>
              <w:bottom w:val="single" w:sz="4" w:space="0" w:color="auto"/>
              <w:right w:val="single" w:sz="4" w:space="0" w:color="auto"/>
            </w:tcBorders>
            <w:shd w:val="clear" w:color="000000" w:fill="FFFFFF"/>
            <w:hideMark/>
          </w:tcPr>
          <w:p w14:paraId="45D8019C"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13. The entity holds or controls the rights to recorded assets and budgetary resources at a given date</w:t>
            </w:r>
          </w:p>
        </w:tc>
        <w:tc>
          <w:tcPr>
            <w:tcW w:w="243" w:type="pct"/>
            <w:tcBorders>
              <w:top w:val="single" w:sz="8" w:space="0" w:color="auto"/>
              <w:left w:val="nil"/>
              <w:bottom w:val="single" w:sz="4" w:space="0" w:color="auto"/>
              <w:right w:val="nil"/>
            </w:tcBorders>
            <w:shd w:val="clear" w:color="000000" w:fill="FFFFFF"/>
            <w:vAlign w:val="center"/>
            <w:hideMark/>
          </w:tcPr>
          <w:p w14:paraId="0AC29890"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single" w:sz="8" w:space="0" w:color="auto"/>
              <w:left w:val="single" w:sz="4" w:space="0" w:color="auto"/>
              <w:bottom w:val="single" w:sz="4" w:space="0" w:color="auto"/>
              <w:right w:val="single" w:sz="8" w:space="0" w:color="auto"/>
            </w:tcBorders>
            <w:shd w:val="clear" w:color="000000" w:fill="FFFFFF"/>
            <w:noWrap/>
            <w:vAlign w:val="center"/>
            <w:hideMark/>
          </w:tcPr>
          <w:p w14:paraId="66638C7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single" w:sz="8" w:space="0" w:color="auto"/>
              <w:left w:val="nil"/>
              <w:bottom w:val="single" w:sz="4" w:space="0" w:color="auto"/>
              <w:right w:val="single" w:sz="4" w:space="0" w:color="auto"/>
            </w:tcBorders>
            <w:shd w:val="clear" w:color="000000" w:fill="FFFFFF"/>
            <w:noWrap/>
            <w:vAlign w:val="center"/>
            <w:hideMark/>
          </w:tcPr>
          <w:p w14:paraId="14100434"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single" w:sz="8" w:space="0" w:color="auto"/>
              <w:left w:val="nil"/>
              <w:bottom w:val="single" w:sz="4" w:space="0" w:color="auto"/>
              <w:right w:val="single" w:sz="8" w:space="0" w:color="auto"/>
            </w:tcBorders>
            <w:shd w:val="clear" w:color="000000" w:fill="FFFFFF"/>
            <w:noWrap/>
            <w:vAlign w:val="center"/>
            <w:hideMark/>
          </w:tcPr>
          <w:p w14:paraId="457DEBFF"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single" w:sz="8" w:space="0" w:color="auto"/>
              <w:left w:val="nil"/>
              <w:bottom w:val="single" w:sz="4" w:space="0" w:color="auto"/>
              <w:right w:val="nil"/>
            </w:tcBorders>
            <w:shd w:val="clear" w:color="000000" w:fill="FFFFFF"/>
            <w:noWrap/>
            <w:vAlign w:val="center"/>
            <w:hideMark/>
          </w:tcPr>
          <w:p w14:paraId="0AD37CD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single" w:sz="8" w:space="0" w:color="auto"/>
              <w:left w:val="single" w:sz="4" w:space="0" w:color="auto"/>
              <w:bottom w:val="single" w:sz="4" w:space="0" w:color="auto"/>
              <w:right w:val="nil"/>
            </w:tcBorders>
            <w:shd w:val="clear" w:color="000000" w:fill="FFFFFF"/>
            <w:noWrap/>
            <w:vAlign w:val="center"/>
            <w:hideMark/>
          </w:tcPr>
          <w:p w14:paraId="6E6815F8"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single" w:sz="8" w:space="0" w:color="auto"/>
              <w:left w:val="single" w:sz="4" w:space="0" w:color="auto"/>
              <w:bottom w:val="single" w:sz="4" w:space="0" w:color="auto"/>
              <w:right w:val="single" w:sz="4" w:space="0" w:color="auto"/>
            </w:tcBorders>
            <w:shd w:val="clear" w:color="000000" w:fill="FFFFFF"/>
            <w:vAlign w:val="center"/>
            <w:hideMark/>
          </w:tcPr>
          <w:p w14:paraId="2A1FC634"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tcBorders>
              <w:top w:val="single" w:sz="8" w:space="0" w:color="auto"/>
              <w:left w:val="nil"/>
              <w:bottom w:val="single" w:sz="4" w:space="0" w:color="auto"/>
              <w:right w:val="single" w:sz="12" w:space="0" w:color="auto"/>
            </w:tcBorders>
            <w:shd w:val="clear" w:color="000000" w:fill="FFFFFF"/>
            <w:vAlign w:val="center"/>
            <w:hideMark/>
          </w:tcPr>
          <w:p w14:paraId="20037D2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r>
      <w:tr w:rsidR="00AC010F" w:rsidRPr="000A7FD1" w14:paraId="76810154" w14:textId="77777777" w:rsidTr="00FA2D9D">
        <w:tblPrEx>
          <w:tblBorders>
            <w:top w:val="none" w:sz="0" w:space="0" w:color="auto"/>
            <w:left w:val="none" w:sz="0" w:space="0" w:color="auto"/>
            <w:bottom w:val="none" w:sz="0" w:space="0" w:color="auto"/>
            <w:right w:val="none" w:sz="0" w:space="0" w:color="auto"/>
          </w:tblBorders>
        </w:tblPrEx>
        <w:trPr>
          <w:trHeight w:val="1070"/>
        </w:trPr>
        <w:tc>
          <w:tcPr>
            <w:tcW w:w="410" w:type="pct"/>
            <w:vMerge/>
            <w:tcBorders>
              <w:top w:val="nil"/>
              <w:left w:val="single" w:sz="12" w:space="0" w:color="auto"/>
              <w:bottom w:val="single" w:sz="4" w:space="0" w:color="000000"/>
              <w:right w:val="single" w:sz="4" w:space="0" w:color="auto"/>
            </w:tcBorders>
            <w:vAlign w:val="center"/>
            <w:hideMark/>
          </w:tcPr>
          <w:p w14:paraId="2D44B030"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val="restart"/>
            <w:tcBorders>
              <w:top w:val="single" w:sz="4" w:space="0" w:color="auto"/>
              <w:left w:val="single" w:sz="4" w:space="0" w:color="auto"/>
              <w:bottom w:val="single" w:sz="4" w:space="0" w:color="auto"/>
              <w:right w:val="nil"/>
            </w:tcBorders>
            <w:shd w:val="clear" w:color="auto" w:fill="auto"/>
            <w:hideMark/>
          </w:tcPr>
          <w:p w14:paraId="3F27F6DB" w14:textId="77777777" w:rsidR="00AC4220" w:rsidRPr="000A7FD1" w:rsidRDefault="00AC4220" w:rsidP="00AC4220">
            <w:pPr>
              <w:widowControl/>
              <w:adjustRightInd/>
              <w:spacing w:before="0" w:after="240"/>
              <w:textAlignment w:val="auto"/>
              <w:rPr>
                <w:rFonts w:cs="Arial"/>
                <w:color w:val="000000"/>
                <w:sz w:val="18"/>
                <w:szCs w:val="18"/>
              </w:rPr>
            </w:pPr>
            <w:r w:rsidRPr="000A7FD1">
              <w:rPr>
                <w:rFonts w:cs="Arial"/>
                <w:color w:val="000000"/>
                <w:sz w:val="18"/>
                <w:szCs w:val="18"/>
                <w:u w:val="single"/>
              </w:rPr>
              <w:t>Obligations:</w:t>
            </w:r>
            <w:r w:rsidRPr="000A7FD1">
              <w:rPr>
                <w:rFonts w:cs="Arial"/>
                <w:color w:val="000000"/>
                <w:sz w:val="18"/>
                <w:szCs w:val="18"/>
              </w:rPr>
              <w:br/>
              <w:t>14. The entity does not have an obligation for recorded liabilities at a given date. Budgetary obligations do not pertain to the entity.</w:t>
            </w:r>
          </w:p>
        </w:tc>
        <w:tc>
          <w:tcPr>
            <w:tcW w:w="349" w:type="pct"/>
            <w:gridSpan w:val="2"/>
            <w:tcBorders>
              <w:top w:val="single" w:sz="4" w:space="0" w:color="auto"/>
              <w:left w:val="single" w:sz="8" w:space="0" w:color="auto"/>
              <w:bottom w:val="nil"/>
              <w:right w:val="single" w:sz="4" w:space="0" w:color="auto"/>
            </w:tcBorders>
            <w:shd w:val="clear" w:color="000000" w:fill="FFFFFF"/>
            <w:noWrap/>
            <w:hideMark/>
          </w:tcPr>
          <w:p w14:paraId="7B360C1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79"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637ADB12"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c>
          <w:tcPr>
            <w:tcW w:w="291" w:type="pct"/>
            <w:gridSpan w:val="3"/>
            <w:vMerge w:val="restart"/>
            <w:tcBorders>
              <w:top w:val="single" w:sz="4" w:space="0" w:color="auto"/>
              <w:left w:val="single" w:sz="4" w:space="0" w:color="auto"/>
              <w:bottom w:val="single" w:sz="4" w:space="0" w:color="000000"/>
              <w:right w:val="single" w:sz="4" w:space="0" w:color="auto"/>
            </w:tcBorders>
            <w:shd w:val="clear" w:color="auto" w:fill="auto"/>
            <w:hideMark/>
          </w:tcPr>
          <w:p w14:paraId="7B33202C"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c>
          <w:tcPr>
            <w:tcW w:w="72" w:type="pct"/>
            <w:tcBorders>
              <w:top w:val="single" w:sz="4" w:space="0" w:color="auto"/>
              <w:left w:val="single" w:sz="4" w:space="0" w:color="auto"/>
              <w:bottom w:val="single" w:sz="4" w:space="0" w:color="auto"/>
              <w:right w:val="single" w:sz="4" w:space="0" w:color="auto"/>
            </w:tcBorders>
            <w:shd w:val="clear" w:color="000000" w:fill="000000"/>
            <w:hideMark/>
          </w:tcPr>
          <w:p w14:paraId="736621A1"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c>
          <w:tcPr>
            <w:tcW w:w="726" w:type="pct"/>
            <w:gridSpan w:val="4"/>
            <w:tcBorders>
              <w:top w:val="single" w:sz="4" w:space="0" w:color="auto"/>
              <w:left w:val="single" w:sz="4" w:space="0" w:color="auto"/>
              <w:bottom w:val="single" w:sz="4" w:space="0" w:color="auto"/>
              <w:right w:val="single" w:sz="4" w:space="0" w:color="auto"/>
            </w:tcBorders>
            <w:shd w:val="clear" w:color="000000" w:fill="FFFFFF"/>
            <w:hideMark/>
          </w:tcPr>
          <w:p w14:paraId="30252230"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xml:space="preserve">14a. Liabilities are the entity’s obligations at a given date. </w:t>
            </w:r>
          </w:p>
        </w:tc>
        <w:tc>
          <w:tcPr>
            <w:tcW w:w="243" w:type="pct"/>
            <w:tcBorders>
              <w:top w:val="single" w:sz="4" w:space="0" w:color="auto"/>
              <w:left w:val="nil"/>
              <w:bottom w:val="single" w:sz="4" w:space="0" w:color="auto"/>
              <w:right w:val="nil"/>
            </w:tcBorders>
            <w:shd w:val="clear" w:color="000000" w:fill="FFFFFF"/>
            <w:vAlign w:val="center"/>
            <w:hideMark/>
          </w:tcPr>
          <w:p w14:paraId="1B9D594A"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single" w:sz="4" w:space="0" w:color="auto"/>
              <w:left w:val="single" w:sz="4" w:space="0" w:color="auto"/>
              <w:bottom w:val="single" w:sz="4" w:space="0" w:color="auto"/>
              <w:right w:val="single" w:sz="8" w:space="0" w:color="auto"/>
            </w:tcBorders>
            <w:shd w:val="clear" w:color="000000" w:fill="FFFFFF"/>
            <w:noWrap/>
            <w:vAlign w:val="center"/>
            <w:hideMark/>
          </w:tcPr>
          <w:p w14:paraId="7E773B2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single" w:sz="4" w:space="0" w:color="auto"/>
              <w:left w:val="nil"/>
              <w:bottom w:val="single" w:sz="4" w:space="0" w:color="auto"/>
              <w:right w:val="single" w:sz="4" w:space="0" w:color="auto"/>
            </w:tcBorders>
            <w:shd w:val="clear" w:color="000000" w:fill="FFFFFF"/>
            <w:noWrap/>
            <w:vAlign w:val="center"/>
            <w:hideMark/>
          </w:tcPr>
          <w:p w14:paraId="3F254E1D"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single" w:sz="4" w:space="0" w:color="auto"/>
              <w:left w:val="nil"/>
              <w:bottom w:val="single" w:sz="4" w:space="0" w:color="auto"/>
              <w:right w:val="single" w:sz="8" w:space="0" w:color="auto"/>
            </w:tcBorders>
            <w:shd w:val="clear" w:color="000000" w:fill="FFFFFF"/>
            <w:noWrap/>
            <w:vAlign w:val="center"/>
            <w:hideMark/>
          </w:tcPr>
          <w:p w14:paraId="15328D9F"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single" w:sz="4" w:space="0" w:color="auto"/>
              <w:left w:val="nil"/>
              <w:bottom w:val="single" w:sz="4" w:space="0" w:color="auto"/>
              <w:right w:val="nil"/>
            </w:tcBorders>
            <w:shd w:val="clear" w:color="000000" w:fill="FFFFFF"/>
            <w:noWrap/>
            <w:vAlign w:val="center"/>
            <w:hideMark/>
          </w:tcPr>
          <w:p w14:paraId="4F6FD37E"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single" w:sz="4" w:space="0" w:color="auto"/>
              <w:left w:val="single" w:sz="4" w:space="0" w:color="auto"/>
              <w:bottom w:val="single" w:sz="4" w:space="0" w:color="auto"/>
              <w:right w:val="nil"/>
            </w:tcBorders>
            <w:shd w:val="clear" w:color="000000" w:fill="FFFFFF"/>
            <w:noWrap/>
            <w:vAlign w:val="center"/>
            <w:hideMark/>
          </w:tcPr>
          <w:p w14:paraId="10117499"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8B2D3AC"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vMerge w:val="restart"/>
            <w:tcBorders>
              <w:top w:val="single" w:sz="4" w:space="0" w:color="auto"/>
              <w:left w:val="single" w:sz="4" w:space="0" w:color="auto"/>
              <w:bottom w:val="single" w:sz="4" w:space="0" w:color="000000"/>
              <w:right w:val="single" w:sz="12" w:space="0" w:color="auto"/>
            </w:tcBorders>
            <w:shd w:val="clear" w:color="000000" w:fill="FFFFFF"/>
            <w:vAlign w:val="center"/>
            <w:hideMark/>
          </w:tcPr>
          <w:p w14:paraId="4F6F28E7"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r>
      <w:tr w:rsidR="00AC010F" w:rsidRPr="000A7FD1" w14:paraId="03363C9D" w14:textId="77777777" w:rsidTr="00FA2D9D">
        <w:tblPrEx>
          <w:tblBorders>
            <w:top w:val="none" w:sz="0" w:space="0" w:color="auto"/>
            <w:left w:val="none" w:sz="0" w:space="0" w:color="auto"/>
            <w:bottom w:val="none" w:sz="0" w:space="0" w:color="auto"/>
            <w:right w:val="none" w:sz="0" w:space="0" w:color="auto"/>
          </w:tblBorders>
        </w:tblPrEx>
        <w:trPr>
          <w:trHeight w:val="1880"/>
        </w:trPr>
        <w:tc>
          <w:tcPr>
            <w:tcW w:w="410" w:type="pct"/>
            <w:vMerge/>
            <w:tcBorders>
              <w:top w:val="nil"/>
              <w:left w:val="single" w:sz="12" w:space="0" w:color="auto"/>
              <w:bottom w:val="single" w:sz="4" w:space="0" w:color="000000"/>
              <w:right w:val="single" w:sz="4" w:space="0" w:color="auto"/>
            </w:tcBorders>
            <w:vAlign w:val="center"/>
            <w:hideMark/>
          </w:tcPr>
          <w:p w14:paraId="4E1CE46F"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tcBorders>
              <w:top w:val="nil"/>
              <w:left w:val="single" w:sz="4" w:space="0" w:color="auto"/>
              <w:bottom w:val="single" w:sz="4" w:space="0" w:color="auto"/>
              <w:right w:val="nil"/>
            </w:tcBorders>
            <w:vAlign w:val="center"/>
            <w:hideMark/>
          </w:tcPr>
          <w:p w14:paraId="457445F9" w14:textId="77777777" w:rsidR="00AC4220" w:rsidRPr="000A7FD1" w:rsidRDefault="00AC4220" w:rsidP="00AC4220">
            <w:pPr>
              <w:widowControl/>
              <w:adjustRightInd/>
              <w:spacing w:before="0" w:after="0"/>
              <w:textAlignment w:val="auto"/>
              <w:rPr>
                <w:rFonts w:cs="Arial"/>
                <w:color w:val="000000"/>
                <w:sz w:val="18"/>
                <w:szCs w:val="18"/>
              </w:rPr>
            </w:pPr>
          </w:p>
        </w:tc>
        <w:tc>
          <w:tcPr>
            <w:tcW w:w="349" w:type="pct"/>
            <w:gridSpan w:val="2"/>
            <w:tcBorders>
              <w:top w:val="nil"/>
              <w:left w:val="single" w:sz="8" w:space="0" w:color="auto"/>
              <w:bottom w:val="single" w:sz="4" w:space="0" w:color="auto"/>
              <w:right w:val="single" w:sz="4" w:space="0" w:color="auto"/>
            </w:tcBorders>
            <w:shd w:val="clear" w:color="000000" w:fill="FFFFFF"/>
            <w:noWrap/>
            <w:hideMark/>
          </w:tcPr>
          <w:p w14:paraId="18AD3E8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79" w:type="pct"/>
            <w:vMerge/>
            <w:tcBorders>
              <w:top w:val="nil"/>
              <w:left w:val="single" w:sz="4" w:space="0" w:color="auto"/>
              <w:bottom w:val="single" w:sz="4" w:space="0" w:color="000000"/>
              <w:right w:val="single" w:sz="4" w:space="0" w:color="auto"/>
            </w:tcBorders>
            <w:vAlign w:val="center"/>
            <w:hideMark/>
          </w:tcPr>
          <w:p w14:paraId="49443EB8" w14:textId="77777777" w:rsidR="00AC4220" w:rsidRPr="000A7FD1" w:rsidRDefault="00AC4220" w:rsidP="00AC4220">
            <w:pPr>
              <w:widowControl/>
              <w:adjustRightInd/>
              <w:spacing w:before="0" w:after="0"/>
              <w:textAlignment w:val="auto"/>
              <w:rPr>
                <w:rFonts w:cs="Arial"/>
                <w:color w:val="000000"/>
                <w:sz w:val="18"/>
                <w:szCs w:val="18"/>
              </w:rPr>
            </w:pPr>
          </w:p>
        </w:tc>
        <w:tc>
          <w:tcPr>
            <w:tcW w:w="291" w:type="pct"/>
            <w:gridSpan w:val="3"/>
            <w:vMerge/>
            <w:tcBorders>
              <w:top w:val="nil"/>
              <w:left w:val="single" w:sz="4" w:space="0" w:color="auto"/>
              <w:bottom w:val="single" w:sz="4" w:space="0" w:color="000000"/>
              <w:right w:val="single" w:sz="8" w:space="0" w:color="auto"/>
            </w:tcBorders>
            <w:vAlign w:val="center"/>
            <w:hideMark/>
          </w:tcPr>
          <w:p w14:paraId="5A2700D8" w14:textId="77777777" w:rsidR="00AC4220" w:rsidRPr="000A7FD1" w:rsidRDefault="00AC4220" w:rsidP="00AC4220">
            <w:pPr>
              <w:widowControl/>
              <w:adjustRightInd/>
              <w:spacing w:before="0" w:after="0"/>
              <w:textAlignment w:val="auto"/>
              <w:rPr>
                <w:rFonts w:cs="Arial"/>
                <w:color w:val="000000"/>
                <w:sz w:val="18"/>
                <w:szCs w:val="18"/>
              </w:rPr>
            </w:pPr>
          </w:p>
        </w:tc>
        <w:tc>
          <w:tcPr>
            <w:tcW w:w="72" w:type="pct"/>
            <w:tcBorders>
              <w:top w:val="single" w:sz="4" w:space="0" w:color="auto"/>
              <w:left w:val="nil"/>
              <w:bottom w:val="single" w:sz="4" w:space="0" w:color="auto"/>
              <w:right w:val="nil"/>
            </w:tcBorders>
            <w:shd w:val="clear" w:color="000000" w:fill="000000"/>
            <w:hideMark/>
          </w:tcPr>
          <w:p w14:paraId="25583CCE"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c>
          <w:tcPr>
            <w:tcW w:w="726" w:type="pct"/>
            <w:gridSpan w:val="4"/>
            <w:tcBorders>
              <w:top w:val="nil"/>
              <w:left w:val="single" w:sz="8" w:space="0" w:color="auto"/>
              <w:bottom w:val="single" w:sz="4" w:space="0" w:color="auto"/>
              <w:right w:val="single" w:sz="4" w:space="0" w:color="auto"/>
            </w:tcBorders>
            <w:shd w:val="clear" w:color="000000" w:fill="FFFFFF"/>
            <w:hideMark/>
          </w:tcPr>
          <w:p w14:paraId="4521789D"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14b. Budgetary obligations pertain to the entity.</w:t>
            </w:r>
          </w:p>
        </w:tc>
        <w:tc>
          <w:tcPr>
            <w:tcW w:w="243" w:type="pct"/>
            <w:tcBorders>
              <w:top w:val="nil"/>
              <w:left w:val="nil"/>
              <w:bottom w:val="single" w:sz="4" w:space="0" w:color="auto"/>
              <w:right w:val="nil"/>
            </w:tcBorders>
            <w:shd w:val="clear" w:color="000000" w:fill="FFFFFF"/>
            <w:vAlign w:val="center"/>
            <w:hideMark/>
          </w:tcPr>
          <w:p w14:paraId="301CE758"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nil"/>
              <w:left w:val="single" w:sz="4" w:space="0" w:color="auto"/>
              <w:bottom w:val="single" w:sz="4" w:space="0" w:color="auto"/>
              <w:right w:val="single" w:sz="8" w:space="0" w:color="auto"/>
            </w:tcBorders>
            <w:shd w:val="clear" w:color="000000" w:fill="FFFFFF"/>
            <w:noWrap/>
            <w:vAlign w:val="center"/>
            <w:hideMark/>
          </w:tcPr>
          <w:p w14:paraId="5FE3D94F"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nil"/>
              <w:left w:val="nil"/>
              <w:bottom w:val="single" w:sz="4" w:space="0" w:color="auto"/>
              <w:right w:val="single" w:sz="4" w:space="0" w:color="auto"/>
            </w:tcBorders>
            <w:shd w:val="clear" w:color="000000" w:fill="FFFFFF"/>
            <w:noWrap/>
            <w:vAlign w:val="center"/>
            <w:hideMark/>
          </w:tcPr>
          <w:p w14:paraId="43148A5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nil"/>
              <w:left w:val="nil"/>
              <w:bottom w:val="single" w:sz="4" w:space="0" w:color="auto"/>
              <w:right w:val="single" w:sz="8" w:space="0" w:color="auto"/>
            </w:tcBorders>
            <w:shd w:val="clear" w:color="000000" w:fill="FFFFFF"/>
            <w:noWrap/>
            <w:vAlign w:val="center"/>
            <w:hideMark/>
          </w:tcPr>
          <w:p w14:paraId="060BC888"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nil"/>
              <w:left w:val="nil"/>
              <w:bottom w:val="single" w:sz="4" w:space="0" w:color="auto"/>
              <w:right w:val="nil"/>
            </w:tcBorders>
            <w:shd w:val="clear" w:color="000000" w:fill="FFFFFF"/>
            <w:noWrap/>
            <w:vAlign w:val="center"/>
            <w:hideMark/>
          </w:tcPr>
          <w:p w14:paraId="0D18C13B"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nil"/>
              <w:left w:val="single" w:sz="4" w:space="0" w:color="auto"/>
              <w:bottom w:val="single" w:sz="4" w:space="0" w:color="auto"/>
              <w:right w:val="nil"/>
            </w:tcBorders>
            <w:shd w:val="clear" w:color="000000" w:fill="FFFFFF"/>
            <w:noWrap/>
            <w:vAlign w:val="center"/>
            <w:hideMark/>
          </w:tcPr>
          <w:p w14:paraId="09B9B44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nil"/>
              <w:left w:val="single" w:sz="4" w:space="0" w:color="auto"/>
              <w:bottom w:val="single" w:sz="4" w:space="0" w:color="auto"/>
              <w:right w:val="single" w:sz="4" w:space="0" w:color="auto"/>
            </w:tcBorders>
            <w:shd w:val="clear" w:color="000000" w:fill="FFFFFF"/>
            <w:vAlign w:val="center"/>
            <w:hideMark/>
          </w:tcPr>
          <w:p w14:paraId="3445B1FB"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vMerge/>
            <w:tcBorders>
              <w:top w:val="single" w:sz="4" w:space="0" w:color="auto"/>
              <w:left w:val="single" w:sz="4" w:space="0" w:color="auto"/>
              <w:bottom w:val="single" w:sz="4" w:space="0" w:color="000000"/>
              <w:right w:val="single" w:sz="12" w:space="0" w:color="auto"/>
            </w:tcBorders>
            <w:vAlign w:val="center"/>
            <w:hideMark/>
          </w:tcPr>
          <w:p w14:paraId="70C9A7C6" w14:textId="77777777" w:rsidR="00AC4220" w:rsidRPr="000A7FD1" w:rsidRDefault="00AC4220" w:rsidP="00AC4220">
            <w:pPr>
              <w:widowControl/>
              <w:adjustRightInd/>
              <w:spacing w:before="0" w:after="0"/>
              <w:textAlignment w:val="auto"/>
              <w:rPr>
                <w:rFonts w:cs="Arial"/>
                <w:color w:val="000000"/>
                <w:sz w:val="18"/>
                <w:szCs w:val="18"/>
              </w:rPr>
            </w:pPr>
          </w:p>
        </w:tc>
      </w:tr>
      <w:tr w:rsidR="00AC010F" w:rsidRPr="000A7FD1" w14:paraId="22CA6594" w14:textId="77777777" w:rsidTr="00D13403">
        <w:tblPrEx>
          <w:tblBorders>
            <w:top w:val="none" w:sz="0" w:space="0" w:color="auto"/>
            <w:left w:val="none" w:sz="0" w:space="0" w:color="auto"/>
            <w:bottom w:val="none" w:sz="0" w:space="0" w:color="auto"/>
            <w:right w:val="none" w:sz="0" w:space="0" w:color="auto"/>
          </w:tblBorders>
        </w:tblPrEx>
        <w:trPr>
          <w:trHeight w:val="255"/>
        </w:trPr>
        <w:tc>
          <w:tcPr>
            <w:tcW w:w="410" w:type="pct"/>
            <w:vMerge w:val="restart"/>
            <w:tcBorders>
              <w:top w:val="single" w:sz="4" w:space="0" w:color="000000"/>
              <w:left w:val="single" w:sz="12" w:space="0" w:color="auto"/>
              <w:bottom w:val="single" w:sz="8" w:space="0" w:color="auto"/>
              <w:right w:val="single" w:sz="4" w:space="0" w:color="auto"/>
            </w:tcBorders>
            <w:shd w:val="clear" w:color="000000" w:fill="FFFFFF"/>
            <w:hideMark/>
          </w:tcPr>
          <w:p w14:paraId="52BFF2E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lastRenderedPageBreak/>
              <w:t>Presentation and Disclosure</w:t>
            </w:r>
          </w:p>
        </w:tc>
        <w:tc>
          <w:tcPr>
            <w:tcW w:w="3228" w:type="pct"/>
            <w:gridSpan w:val="17"/>
            <w:tcBorders>
              <w:top w:val="single" w:sz="4" w:space="0" w:color="auto"/>
              <w:left w:val="nil"/>
              <w:bottom w:val="single" w:sz="4" w:space="0" w:color="auto"/>
              <w:right w:val="single" w:sz="8" w:space="0" w:color="000000"/>
            </w:tcBorders>
            <w:shd w:val="clear" w:color="000000" w:fill="000000"/>
            <w:hideMark/>
          </w:tcPr>
          <w:p w14:paraId="28D58326" w14:textId="77777777" w:rsidR="00AC4220" w:rsidRPr="000A7FD1" w:rsidRDefault="00AC4220" w:rsidP="00AC4220">
            <w:pPr>
              <w:widowControl/>
              <w:adjustRightInd/>
              <w:spacing w:before="0" w:after="0"/>
              <w:textAlignment w:val="auto"/>
              <w:rPr>
                <w:rFonts w:cs="Arial"/>
                <w:b/>
                <w:bCs/>
                <w:color w:val="FFFFFF"/>
                <w:sz w:val="18"/>
                <w:szCs w:val="18"/>
              </w:rPr>
            </w:pPr>
            <w:r w:rsidRPr="000A7FD1">
              <w:rPr>
                <w:rFonts w:cs="Arial"/>
                <w:b/>
                <w:bCs/>
                <w:color w:val="FFFFFF"/>
                <w:sz w:val="18"/>
                <w:szCs w:val="18"/>
              </w:rPr>
              <w:t>Transaction and line item/account related</w:t>
            </w:r>
          </w:p>
        </w:tc>
        <w:tc>
          <w:tcPr>
            <w:tcW w:w="170" w:type="pct"/>
            <w:tcBorders>
              <w:top w:val="nil"/>
              <w:left w:val="nil"/>
              <w:bottom w:val="nil"/>
              <w:right w:val="nil"/>
            </w:tcBorders>
            <w:shd w:val="clear" w:color="000000" w:fill="000000"/>
            <w:noWrap/>
            <w:hideMark/>
          </w:tcPr>
          <w:p w14:paraId="2215186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nil"/>
              <w:left w:val="nil"/>
              <w:bottom w:val="nil"/>
              <w:right w:val="nil"/>
            </w:tcBorders>
            <w:shd w:val="clear" w:color="000000" w:fill="000000"/>
            <w:noWrap/>
            <w:hideMark/>
          </w:tcPr>
          <w:p w14:paraId="1E55175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nil"/>
              <w:left w:val="nil"/>
              <w:bottom w:val="nil"/>
              <w:right w:val="nil"/>
            </w:tcBorders>
            <w:shd w:val="clear" w:color="000000" w:fill="000000"/>
            <w:noWrap/>
            <w:hideMark/>
          </w:tcPr>
          <w:p w14:paraId="416CE66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nil"/>
              <w:left w:val="nil"/>
              <w:bottom w:val="nil"/>
              <w:right w:val="nil"/>
            </w:tcBorders>
            <w:shd w:val="clear" w:color="000000" w:fill="000000"/>
            <w:noWrap/>
            <w:hideMark/>
          </w:tcPr>
          <w:p w14:paraId="09CFE50C"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tcBorders>
              <w:top w:val="nil"/>
              <w:left w:val="nil"/>
              <w:bottom w:val="nil"/>
              <w:right w:val="single" w:sz="12" w:space="0" w:color="auto"/>
            </w:tcBorders>
            <w:shd w:val="clear" w:color="000000" w:fill="000000"/>
            <w:noWrap/>
            <w:hideMark/>
          </w:tcPr>
          <w:p w14:paraId="0792B8DB"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r>
      <w:tr w:rsidR="00AC010F" w:rsidRPr="000A7FD1" w14:paraId="1DD03292" w14:textId="77777777" w:rsidTr="00D71ED5">
        <w:tblPrEx>
          <w:tblBorders>
            <w:top w:val="none" w:sz="0" w:space="0" w:color="auto"/>
            <w:left w:val="none" w:sz="0" w:space="0" w:color="auto"/>
            <w:bottom w:val="none" w:sz="0" w:space="0" w:color="auto"/>
            <w:right w:val="none" w:sz="0" w:space="0" w:color="auto"/>
          </w:tblBorders>
        </w:tblPrEx>
        <w:trPr>
          <w:trHeight w:val="943"/>
        </w:trPr>
        <w:tc>
          <w:tcPr>
            <w:tcW w:w="410" w:type="pct"/>
            <w:vMerge/>
            <w:tcBorders>
              <w:top w:val="single" w:sz="4" w:space="0" w:color="000000"/>
              <w:left w:val="single" w:sz="12" w:space="0" w:color="auto"/>
              <w:bottom w:val="single" w:sz="8" w:space="0" w:color="auto"/>
              <w:right w:val="single" w:sz="4" w:space="0" w:color="auto"/>
            </w:tcBorders>
            <w:vAlign w:val="center"/>
            <w:hideMark/>
          </w:tcPr>
          <w:p w14:paraId="49A7A533"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val="restart"/>
            <w:tcBorders>
              <w:top w:val="nil"/>
              <w:left w:val="single" w:sz="4" w:space="0" w:color="auto"/>
              <w:bottom w:val="single" w:sz="4" w:space="0" w:color="000000"/>
              <w:right w:val="nil"/>
            </w:tcBorders>
            <w:shd w:val="clear" w:color="auto" w:fill="auto"/>
            <w:hideMark/>
          </w:tcPr>
          <w:p w14:paraId="3F79657A" w14:textId="33BCE2AE" w:rsidR="00C35877" w:rsidRPr="000A7FD1" w:rsidRDefault="00AC4220" w:rsidP="00D13403">
            <w:pPr>
              <w:widowControl/>
              <w:adjustRightInd/>
              <w:spacing w:before="0" w:after="0"/>
              <w:textAlignment w:val="auto"/>
              <w:rPr>
                <w:rFonts w:cs="Arial"/>
                <w:color w:val="000000"/>
                <w:sz w:val="18"/>
                <w:szCs w:val="18"/>
              </w:rPr>
            </w:pPr>
            <w:r w:rsidRPr="000A7FD1">
              <w:rPr>
                <w:rFonts w:cs="Arial"/>
                <w:color w:val="000000"/>
                <w:sz w:val="18"/>
                <w:szCs w:val="18"/>
                <w:u w:val="single"/>
              </w:rPr>
              <w:t>Presentation</w:t>
            </w:r>
            <w:r w:rsidRPr="000A7FD1">
              <w:rPr>
                <w:rFonts w:cs="Arial"/>
                <w:color w:val="000000"/>
                <w:sz w:val="18"/>
                <w:szCs w:val="18"/>
              </w:rPr>
              <w:t>:</w:t>
            </w:r>
            <w:r w:rsidRPr="000A7FD1">
              <w:rPr>
                <w:rFonts w:cs="Arial"/>
                <w:color w:val="000000"/>
                <w:sz w:val="18"/>
                <w:szCs w:val="18"/>
              </w:rPr>
              <w:br/>
              <w:t>15. Financial or other information in the financial statements is not appropriately aggregated or disaggregated or is not clearly described.</w:t>
            </w:r>
          </w:p>
        </w:tc>
        <w:tc>
          <w:tcPr>
            <w:tcW w:w="349" w:type="pct"/>
            <w:gridSpan w:val="2"/>
            <w:tcBorders>
              <w:top w:val="nil"/>
              <w:left w:val="single" w:sz="8" w:space="0" w:color="auto"/>
              <w:bottom w:val="single" w:sz="4" w:space="0" w:color="auto"/>
              <w:right w:val="single" w:sz="4" w:space="0" w:color="auto"/>
            </w:tcBorders>
            <w:shd w:val="clear" w:color="000000" w:fill="FFFFFF"/>
            <w:noWrap/>
            <w:hideMark/>
          </w:tcPr>
          <w:p w14:paraId="2F36CBE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79" w:type="pct"/>
            <w:tcBorders>
              <w:top w:val="nil"/>
              <w:left w:val="nil"/>
              <w:bottom w:val="single" w:sz="4" w:space="0" w:color="auto"/>
              <w:right w:val="single" w:sz="4" w:space="0" w:color="auto"/>
            </w:tcBorders>
            <w:shd w:val="clear" w:color="auto" w:fill="auto"/>
            <w:hideMark/>
          </w:tcPr>
          <w:p w14:paraId="6438CA1C"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1" w:type="pct"/>
            <w:gridSpan w:val="3"/>
            <w:tcBorders>
              <w:top w:val="nil"/>
              <w:left w:val="nil"/>
              <w:bottom w:val="single" w:sz="4" w:space="0" w:color="auto"/>
              <w:right w:val="single" w:sz="8" w:space="0" w:color="auto"/>
            </w:tcBorders>
            <w:shd w:val="clear" w:color="auto" w:fill="auto"/>
            <w:hideMark/>
          </w:tcPr>
          <w:p w14:paraId="71AE7DAB"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 w:type="pct"/>
            <w:tcBorders>
              <w:top w:val="nil"/>
              <w:left w:val="nil"/>
              <w:bottom w:val="nil"/>
              <w:right w:val="nil"/>
            </w:tcBorders>
            <w:shd w:val="clear" w:color="000000" w:fill="000000"/>
            <w:hideMark/>
          </w:tcPr>
          <w:p w14:paraId="4E17FFBB"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6" w:type="pct"/>
            <w:gridSpan w:val="4"/>
            <w:vMerge w:val="restart"/>
            <w:tcBorders>
              <w:top w:val="nil"/>
              <w:left w:val="single" w:sz="8" w:space="0" w:color="auto"/>
              <w:bottom w:val="single" w:sz="4" w:space="0" w:color="000000"/>
              <w:right w:val="single" w:sz="4" w:space="0" w:color="auto"/>
            </w:tcBorders>
            <w:shd w:val="clear" w:color="000000" w:fill="FFFFFF"/>
            <w:hideMark/>
          </w:tcPr>
          <w:p w14:paraId="09BA977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xml:space="preserve">15. Financial and other information in the financial statements is appropriately aggregated or disaggregated and is clearly described. </w:t>
            </w:r>
          </w:p>
        </w:tc>
        <w:tc>
          <w:tcPr>
            <w:tcW w:w="243" w:type="pct"/>
            <w:tcBorders>
              <w:top w:val="nil"/>
              <w:left w:val="nil"/>
              <w:bottom w:val="nil"/>
              <w:right w:val="nil"/>
            </w:tcBorders>
            <w:shd w:val="clear" w:color="000000" w:fill="FFFFFF"/>
            <w:vAlign w:val="center"/>
            <w:hideMark/>
          </w:tcPr>
          <w:p w14:paraId="565113E8"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nil"/>
              <w:left w:val="single" w:sz="4" w:space="0" w:color="auto"/>
              <w:bottom w:val="nil"/>
              <w:right w:val="single" w:sz="8" w:space="0" w:color="auto"/>
            </w:tcBorders>
            <w:shd w:val="clear" w:color="000000" w:fill="FFFFFF"/>
            <w:noWrap/>
            <w:vAlign w:val="center"/>
            <w:hideMark/>
          </w:tcPr>
          <w:p w14:paraId="7F75922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nil"/>
              <w:left w:val="nil"/>
              <w:bottom w:val="nil"/>
              <w:right w:val="single" w:sz="4" w:space="0" w:color="auto"/>
            </w:tcBorders>
            <w:shd w:val="clear" w:color="000000" w:fill="FFFFFF"/>
            <w:noWrap/>
            <w:vAlign w:val="center"/>
            <w:hideMark/>
          </w:tcPr>
          <w:p w14:paraId="5C74F16E"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single" w:sz="4" w:space="0" w:color="auto"/>
              <w:left w:val="nil"/>
              <w:bottom w:val="nil"/>
              <w:right w:val="single" w:sz="8" w:space="0" w:color="auto"/>
            </w:tcBorders>
            <w:shd w:val="clear" w:color="000000" w:fill="FFFFFF"/>
            <w:noWrap/>
            <w:vAlign w:val="center"/>
            <w:hideMark/>
          </w:tcPr>
          <w:p w14:paraId="0D5EEE3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single" w:sz="4" w:space="0" w:color="auto"/>
              <w:left w:val="nil"/>
              <w:bottom w:val="nil"/>
              <w:right w:val="nil"/>
            </w:tcBorders>
            <w:shd w:val="clear" w:color="000000" w:fill="FFFFFF"/>
            <w:noWrap/>
            <w:vAlign w:val="center"/>
            <w:hideMark/>
          </w:tcPr>
          <w:p w14:paraId="0DE4907E"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single" w:sz="4" w:space="0" w:color="auto"/>
              <w:left w:val="single" w:sz="4" w:space="0" w:color="auto"/>
              <w:bottom w:val="nil"/>
              <w:right w:val="nil"/>
            </w:tcBorders>
            <w:shd w:val="clear" w:color="000000" w:fill="FFFFFF"/>
            <w:noWrap/>
            <w:vAlign w:val="center"/>
            <w:hideMark/>
          </w:tcPr>
          <w:p w14:paraId="1487D83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single" w:sz="4" w:space="0" w:color="auto"/>
              <w:left w:val="single" w:sz="4" w:space="0" w:color="auto"/>
              <w:bottom w:val="nil"/>
              <w:right w:val="single" w:sz="4" w:space="0" w:color="auto"/>
            </w:tcBorders>
            <w:shd w:val="clear" w:color="000000" w:fill="FFFFFF"/>
            <w:vAlign w:val="center"/>
            <w:hideMark/>
          </w:tcPr>
          <w:p w14:paraId="3A7E706D"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vMerge w:val="restart"/>
            <w:tcBorders>
              <w:top w:val="single" w:sz="4" w:space="0" w:color="auto"/>
              <w:left w:val="single" w:sz="4" w:space="0" w:color="auto"/>
              <w:bottom w:val="single" w:sz="4" w:space="0" w:color="000000"/>
              <w:right w:val="single" w:sz="12" w:space="0" w:color="auto"/>
            </w:tcBorders>
            <w:shd w:val="clear" w:color="000000" w:fill="FFFFFF"/>
            <w:vAlign w:val="center"/>
            <w:hideMark/>
          </w:tcPr>
          <w:p w14:paraId="1FABD327"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r>
      <w:tr w:rsidR="00AC010F" w:rsidRPr="000A7FD1" w14:paraId="7378C00F" w14:textId="77777777" w:rsidTr="00D71ED5">
        <w:tblPrEx>
          <w:tblBorders>
            <w:top w:val="none" w:sz="0" w:space="0" w:color="auto"/>
            <w:left w:val="none" w:sz="0" w:space="0" w:color="auto"/>
            <w:bottom w:val="none" w:sz="0" w:space="0" w:color="auto"/>
            <w:right w:val="none" w:sz="0" w:space="0" w:color="auto"/>
          </w:tblBorders>
        </w:tblPrEx>
        <w:trPr>
          <w:trHeight w:val="1051"/>
        </w:trPr>
        <w:tc>
          <w:tcPr>
            <w:tcW w:w="410" w:type="pct"/>
            <w:vMerge/>
            <w:tcBorders>
              <w:top w:val="single" w:sz="4" w:space="0" w:color="000000"/>
              <w:left w:val="single" w:sz="12" w:space="0" w:color="auto"/>
              <w:bottom w:val="single" w:sz="8" w:space="0" w:color="auto"/>
              <w:right w:val="single" w:sz="4" w:space="0" w:color="auto"/>
            </w:tcBorders>
            <w:vAlign w:val="center"/>
            <w:hideMark/>
          </w:tcPr>
          <w:p w14:paraId="5730D5BE"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tcBorders>
              <w:top w:val="nil"/>
              <w:left w:val="single" w:sz="4" w:space="0" w:color="auto"/>
              <w:bottom w:val="single" w:sz="8" w:space="0" w:color="auto"/>
              <w:right w:val="nil"/>
            </w:tcBorders>
            <w:vAlign w:val="center"/>
            <w:hideMark/>
          </w:tcPr>
          <w:p w14:paraId="0784B78A" w14:textId="77777777" w:rsidR="00AC4220" w:rsidRPr="000A7FD1" w:rsidRDefault="00AC4220" w:rsidP="00AC4220">
            <w:pPr>
              <w:widowControl/>
              <w:adjustRightInd/>
              <w:spacing w:before="0" w:after="0"/>
              <w:textAlignment w:val="auto"/>
              <w:rPr>
                <w:rFonts w:cs="Arial"/>
                <w:color w:val="000000"/>
                <w:sz w:val="18"/>
                <w:szCs w:val="18"/>
              </w:rPr>
            </w:pPr>
          </w:p>
        </w:tc>
        <w:tc>
          <w:tcPr>
            <w:tcW w:w="349" w:type="pct"/>
            <w:gridSpan w:val="2"/>
            <w:tcBorders>
              <w:top w:val="nil"/>
              <w:left w:val="single" w:sz="8" w:space="0" w:color="auto"/>
              <w:bottom w:val="single" w:sz="8" w:space="0" w:color="auto"/>
              <w:right w:val="single" w:sz="4" w:space="0" w:color="auto"/>
            </w:tcBorders>
            <w:shd w:val="clear" w:color="000000" w:fill="FFFFFF"/>
            <w:noWrap/>
            <w:hideMark/>
          </w:tcPr>
          <w:p w14:paraId="0981D0A0"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79" w:type="pct"/>
            <w:tcBorders>
              <w:top w:val="nil"/>
              <w:left w:val="nil"/>
              <w:bottom w:val="single" w:sz="8" w:space="0" w:color="auto"/>
              <w:right w:val="single" w:sz="4" w:space="0" w:color="auto"/>
            </w:tcBorders>
            <w:shd w:val="clear" w:color="auto" w:fill="auto"/>
            <w:hideMark/>
          </w:tcPr>
          <w:p w14:paraId="542D3309"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1" w:type="pct"/>
            <w:gridSpan w:val="3"/>
            <w:tcBorders>
              <w:top w:val="nil"/>
              <w:left w:val="nil"/>
              <w:bottom w:val="single" w:sz="8" w:space="0" w:color="auto"/>
              <w:right w:val="single" w:sz="8" w:space="0" w:color="auto"/>
            </w:tcBorders>
            <w:shd w:val="clear" w:color="auto" w:fill="auto"/>
            <w:hideMark/>
          </w:tcPr>
          <w:p w14:paraId="650BC0DA"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 w:type="pct"/>
            <w:tcBorders>
              <w:top w:val="nil"/>
              <w:left w:val="nil"/>
              <w:bottom w:val="single" w:sz="8" w:space="0" w:color="auto"/>
              <w:right w:val="nil"/>
            </w:tcBorders>
            <w:shd w:val="clear" w:color="000000" w:fill="000000"/>
            <w:hideMark/>
          </w:tcPr>
          <w:p w14:paraId="0EF24A3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6" w:type="pct"/>
            <w:gridSpan w:val="4"/>
            <w:vMerge/>
            <w:tcBorders>
              <w:top w:val="nil"/>
              <w:left w:val="single" w:sz="8" w:space="0" w:color="auto"/>
              <w:bottom w:val="single" w:sz="8" w:space="0" w:color="auto"/>
              <w:right w:val="single" w:sz="4" w:space="0" w:color="auto"/>
            </w:tcBorders>
            <w:vAlign w:val="center"/>
            <w:hideMark/>
          </w:tcPr>
          <w:p w14:paraId="00159306" w14:textId="77777777" w:rsidR="00AC4220" w:rsidRPr="000A7FD1" w:rsidRDefault="00AC4220" w:rsidP="00AC4220">
            <w:pPr>
              <w:widowControl/>
              <w:adjustRightInd/>
              <w:spacing w:before="0" w:after="0"/>
              <w:textAlignment w:val="auto"/>
              <w:rPr>
                <w:rFonts w:cs="Arial"/>
                <w:color w:val="000000"/>
                <w:sz w:val="18"/>
                <w:szCs w:val="18"/>
              </w:rPr>
            </w:pPr>
          </w:p>
        </w:tc>
        <w:tc>
          <w:tcPr>
            <w:tcW w:w="243" w:type="pct"/>
            <w:tcBorders>
              <w:top w:val="nil"/>
              <w:left w:val="nil"/>
              <w:bottom w:val="single" w:sz="4" w:space="0" w:color="auto"/>
              <w:right w:val="nil"/>
            </w:tcBorders>
            <w:shd w:val="clear" w:color="000000" w:fill="FFFFFF"/>
            <w:vAlign w:val="center"/>
            <w:hideMark/>
          </w:tcPr>
          <w:p w14:paraId="56B5F06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nil"/>
              <w:left w:val="single" w:sz="4" w:space="0" w:color="auto"/>
              <w:bottom w:val="single" w:sz="4" w:space="0" w:color="auto"/>
              <w:right w:val="single" w:sz="8" w:space="0" w:color="auto"/>
            </w:tcBorders>
            <w:shd w:val="clear" w:color="000000" w:fill="FFFFFF"/>
            <w:noWrap/>
            <w:vAlign w:val="center"/>
            <w:hideMark/>
          </w:tcPr>
          <w:p w14:paraId="1CD43AC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nil"/>
              <w:left w:val="nil"/>
              <w:bottom w:val="single" w:sz="4" w:space="0" w:color="auto"/>
              <w:right w:val="single" w:sz="4" w:space="0" w:color="auto"/>
            </w:tcBorders>
            <w:shd w:val="clear" w:color="000000" w:fill="FFFFFF"/>
            <w:noWrap/>
            <w:vAlign w:val="center"/>
            <w:hideMark/>
          </w:tcPr>
          <w:p w14:paraId="14DF642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nil"/>
              <w:left w:val="nil"/>
              <w:bottom w:val="single" w:sz="4" w:space="0" w:color="auto"/>
              <w:right w:val="single" w:sz="8" w:space="0" w:color="auto"/>
            </w:tcBorders>
            <w:shd w:val="clear" w:color="000000" w:fill="FFFFFF"/>
            <w:noWrap/>
            <w:vAlign w:val="center"/>
            <w:hideMark/>
          </w:tcPr>
          <w:p w14:paraId="5911AB58"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nil"/>
              <w:left w:val="nil"/>
              <w:bottom w:val="single" w:sz="4" w:space="0" w:color="auto"/>
              <w:right w:val="nil"/>
            </w:tcBorders>
            <w:shd w:val="clear" w:color="000000" w:fill="FFFFFF"/>
            <w:noWrap/>
            <w:vAlign w:val="center"/>
            <w:hideMark/>
          </w:tcPr>
          <w:p w14:paraId="15E728E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nil"/>
              <w:left w:val="single" w:sz="4" w:space="0" w:color="auto"/>
              <w:bottom w:val="single" w:sz="4" w:space="0" w:color="auto"/>
              <w:right w:val="nil"/>
            </w:tcBorders>
            <w:shd w:val="clear" w:color="000000" w:fill="FFFFFF"/>
            <w:noWrap/>
            <w:vAlign w:val="center"/>
            <w:hideMark/>
          </w:tcPr>
          <w:p w14:paraId="60183EBD"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nil"/>
              <w:left w:val="single" w:sz="4" w:space="0" w:color="auto"/>
              <w:bottom w:val="single" w:sz="8" w:space="0" w:color="auto"/>
              <w:right w:val="single" w:sz="4" w:space="0" w:color="auto"/>
            </w:tcBorders>
            <w:shd w:val="clear" w:color="000000" w:fill="FFFFFF"/>
            <w:vAlign w:val="center"/>
            <w:hideMark/>
          </w:tcPr>
          <w:p w14:paraId="1D2BD44B"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vMerge/>
            <w:tcBorders>
              <w:top w:val="single" w:sz="4" w:space="0" w:color="auto"/>
              <w:left w:val="single" w:sz="4" w:space="0" w:color="auto"/>
              <w:bottom w:val="single" w:sz="8" w:space="0" w:color="auto"/>
              <w:right w:val="single" w:sz="12" w:space="0" w:color="auto"/>
            </w:tcBorders>
            <w:vAlign w:val="center"/>
            <w:hideMark/>
          </w:tcPr>
          <w:p w14:paraId="357C0FD9" w14:textId="77777777" w:rsidR="00AC4220" w:rsidRPr="000A7FD1" w:rsidRDefault="00AC4220" w:rsidP="00AC4220">
            <w:pPr>
              <w:widowControl/>
              <w:adjustRightInd/>
              <w:spacing w:before="0" w:after="0"/>
              <w:textAlignment w:val="auto"/>
              <w:rPr>
                <w:rFonts w:cs="Arial"/>
                <w:color w:val="000000"/>
                <w:sz w:val="18"/>
                <w:szCs w:val="18"/>
              </w:rPr>
            </w:pPr>
          </w:p>
        </w:tc>
      </w:tr>
      <w:tr w:rsidR="00AC010F" w:rsidRPr="000A7FD1" w14:paraId="6CD42C96" w14:textId="77777777" w:rsidTr="00D71ED5">
        <w:tblPrEx>
          <w:tblBorders>
            <w:top w:val="none" w:sz="0" w:space="0" w:color="auto"/>
            <w:left w:val="none" w:sz="0" w:space="0" w:color="auto"/>
            <w:bottom w:val="none" w:sz="0" w:space="0" w:color="auto"/>
            <w:right w:val="none" w:sz="0" w:space="0" w:color="auto"/>
          </w:tblBorders>
        </w:tblPrEx>
        <w:trPr>
          <w:trHeight w:val="1114"/>
        </w:trPr>
        <w:tc>
          <w:tcPr>
            <w:tcW w:w="410" w:type="pct"/>
            <w:vMerge/>
            <w:tcBorders>
              <w:top w:val="single" w:sz="4" w:space="0" w:color="000000"/>
              <w:left w:val="single" w:sz="12" w:space="0" w:color="auto"/>
              <w:bottom w:val="single" w:sz="8" w:space="0" w:color="auto"/>
              <w:right w:val="single" w:sz="4" w:space="0" w:color="auto"/>
            </w:tcBorders>
            <w:vAlign w:val="center"/>
            <w:hideMark/>
          </w:tcPr>
          <w:p w14:paraId="7A6D038B"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val="restart"/>
            <w:tcBorders>
              <w:top w:val="single" w:sz="8" w:space="0" w:color="auto"/>
              <w:left w:val="single" w:sz="4" w:space="0" w:color="auto"/>
              <w:bottom w:val="single" w:sz="4" w:space="0" w:color="000000"/>
              <w:right w:val="nil"/>
            </w:tcBorders>
            <w:shd w:val="clear" w:color="auto" w:fill="auto"/>
            <w:hideMark/>
          </w:tcPr>
          <w:p w14:paraId="432DF4B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u w:val="single"/>
              </w:rPr>
              <w:t>Consistency</w:t>
            </w:r>
            <w:r w:rsidRPr="000A7FD1">
              <w:rPr>
                <w:rFonts w:cs="Arial"/>
                <w:color w:val="000000"/>
                <w:sz w:val="18"/>
                <w:szCs w:val="18"/>
              </w:rPr>
              <w:t>:</w:t>
            </w:r>
            <w:r w:rsidRPr="000A7FD1">
              <w:rPr>
                <w:rFonts w:cs="Arial"/>
                <w:color w:val="000000"/>
                <w:sz w:val="18"/>
                <w:szCs w:val="18"/>
              </w:rPr>
              <w:br/>
              <w:t>16. The current period financial statement components are based on accounting principles different from those used in the prior periods presented.</w:t>
            </w:r>
          </w:p>
        </w:tc>
        <w:tc>
          <w:tcPr>
            <w:tcW w:w="349" w:type="pct"/>
            <w:gridSpan w:val="2"/>
            <w:tcBorders>
              <w:top w:val="single" w:sz="8" w:space="0" w:color="auto"/>
              <w:left w:val="single" w:sz="8" w:space="0" w:color="auto"/>
              <w:bottom w:val="single" w:sz="4" w:space="0" w:color="auto"/>
              <w:right w:val="single" w:sz="4" w:space="0" w:color="auto"/>
            </w:tcBorders>
            <w:shd w:val="clear" w:color="000000" w:fill="FFFFFF"/>
            <w:noWrap/>
            <w:hideMark/>
          </w:tcPr>
          <w:p w14:paraId="5510F44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79" w:type="pct"/>
            <w:tcBorders>
              <w:top w:val="single" w:sz="8" w:space="0" w:color="auto"/>
              <w:left w:val="nil"/>
              <w:bottom w:val="single" w:sz="4" w:space="0" w:color="auto"/>
              <w:right w:val="single" w:sz="4" w:space="0" w:color="auto"/>
            </w:tcBorders>
            <w:shd w:val="clear" w:color="auto" w:fill="auto"/>
            <w:hideMark/>
          </w:tcPr>
          <w:p w14:paraId="0677462C"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1" w:type="pct"/>
            <w:gridSpan w:val="3"/>
            <w:tcBorders>
              <w:top w:val="single" w:sz="8" w:space="0" w:color="auto"/>
              <w:left w:val="nil"/>
              <w:bottom w:val="single" w:sz="8" w:space="0" w:color="auto"/>
              <w:right w:val="single" w:sz="8" w:space="0" w:color="auto"/>
            </w:tcBorders>
            <w:shd w:val="clear" w:color="auto" w:fill="auto"/>
            <w:hideMark/>
          </w:tcPr>
          <w:p w14:paraId="28CBB052"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 w:type="pct"/>
            <w:tcBorders>
              <w:top w:val="single" w:sz="8" w:space="0" w:color="auto"/>
              <w:left w:val="nil"/>
              <w:bottom w:val="single" w:sz="8" w:space="0" w:color="auto"/>
              <w:right w:val="nil"/>
            </w:tcBorders>
            <w:shd w:val="clear" w:color="000000" w:fill="000000"/>
            <w:hideMark/>
          </w:tcPr>
          <w:p w14:paraId="29380552"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6" w:type="pct"/>
            <w:gridSpan w:val="4"/>
            <w:vMerge w:val="restart"/>
            <w:tcBorders>
              <w:top w:val="single" w:sz="8" w:space="0" w:color="auto"/>
              <w:left w:val="single" w:sz="8" w:space="0" w:color="auto"/>
              <w:bottom w:val="single" w:sz="8" w:space="0" w:color="auto"/>
              <w:right w:val="single" w:sz="4" w:space="0" w:color="auto"/>
            </w:tcBorders>
            <w:shd w:val="clear" w:color="000000" w:fill="FFFFFF"/>
            <w:hideMark/>
          </w:tcPr>
          <w:p w14:paraId="6530D1DC"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16. The financial statement components are based on accounting principles that are applied consistently from period to period.</w:t>
            </w:r>
          </w:p>
        </w:tc>
        <w:tc>
          <w:tcPr>
            <w:tcW w:w="243" w:type="pct"/>
            <w:tcBorders>
              <w:top w:val="single" w:sz="4" w:space="0" w:color="auto"/>
              <w:left w:val="nil"/>
              <w:bottom w:val="single" w:sz="8" w:space="0" w:color="auto"/>
              <w:right w:val="nil"/>
            </w:tcBorders>
            <w:shd w:val="clear" w:color="000000" w:fill="FFFFFF"/>
            <w:vAlign w:val="center"/>
            <w:hideMark/>
          </w:tcPr>
          <w:p w14:paraId="1CEFD22B"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single" w:sz="4" w:space="0" w:color="auto"/>
              <w:left w:val="single" w:sz="4" w:space="0" w:color="auto"/>
              <w:bottom w:val="single" w:sz="8" w:space="0" w:color="auto"/>
              <w:right w:val="single" w:sz="8" w:space="0" w:color="auto"/>
            </w:tcBorders>
            <w:shd w:val="clear" w:color="000000" w:fill="FFFFFF"/>
            <w:noWrap/>
            <w:vAlign w:val="center"/>
            <w:hideMark/>
          </w:tcPr>
          <w:p w14:paraId="375E8F04"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single" w:sz="4" w:space="0" w:color="auto"/>
              <w:left w:val="nil"/>
              <w:bottom w:val="single" w:sz="8" w:space="0" w:color="auto"/>
              <w:right w:val="single" w:sz="4" w:space="0" w:color="auto"/>
            </w:tcBorders>
            <w:shd w:val="clear" w:color="000000" w:fill="FFFFFF"/>
            <w:noWrap/>
            <w:vAlign w:val="center"/>
            <w:hideMark/>
          </w:tcPr>
          <w:p w14:paraId="41A16CA9"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single" w:sz="4" w:space="0" w:color="auto"/>
              <w:left w:val="nil"/>
              <w:bottom w:val="single" w:sz="8" w:space="0" w:color="auto"/>
              <w:right w:val="single" w:sz="8" w:space="0" w:color="auto"/>
            </w:tcBorders>
            <w:shd w:val="clear" w:color="000000" w:fill="FFFFFF"/>
            <w:noWrap/>
            <w:vAlign w:val="center"/>
            <w:hideMark/>
          </w:tcPr>
          <w:p w14:paraId="68D271EC"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single" w:sz="4" w:space="0" w:color="auto"/>
              <w:left w:val="nil"/>
              <w:bottom w:val="single" w:sz="8" w:space="0" w:color="auto"/>
              <w:right w:val="nil"/>
            </w:tcBorders>
            <w:shd w:val="clear" w:color="000000" w:fill="FFFFFF"/>
            <w:noWrap/>
            <w:vAlign w:val="center"/>
            <w:hideMark/>
          </w:tcPr>
          <w:p w14:paraId="6C69657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single" w:sz="4" w:space="0" w:color="auto"/>
              <w:left w:val="single" w:sz="4" w:space="0" w:color="auto"/>
              <w:bottom w:val="single" w:sz="8" w:space="0" w:color="auto"/>
              <w:right w:val="nil"/>
            </w:tcBorders>
            <w:shd w:val="clear" w:color="000000" w:fill="FFFFFF"/>
            <w:noWrap/>
            <w:vAlign w:val="center"/>
            <w:hideMark/>
          </w:tcPr>
          <w:p w14:paraId="2266744D"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single" w:sz="8" w:space="0" w:color="auto"/>
              <w:left w:val="single" w:sz="4" w:space="0" w:color="auto"/>
              <w:bottom w:val="single" w:sz="8" w:space="0" w:color="auto"/>
              <w:right w:val="single" w:sz="4" w:space="0" w:color="auto"/>
            </w:tcBorders>
            <w:shd w:val="clear" w:color="000000" w:fill="FFFFFF"/>
            <w:vAlign w:val="center"/>
            <w:hideMark/>
          </w:tcPr>
          <w:p w14:paraId="4F88815E"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vMerge w:val="restart"/>
            <w:tcBorders>
              <w:top w:val="single" w:sz="8" w:space="0" w:color="auto"/>
              <w:left w:val="single" w:sz="4" w:space="0" w:color="auto"/>
              <w:bottom w:val="single" w:sz="4" w:space="0" w:color="000000"/>
              <w:right w:val="single" w:sz="12" w:space="0" w:color="auto"/>
            </w:tcBorders>
            <w:shd w:val="clear" w:color="000000" w:fill="FFFFFF"/>
            <w:vAlign w:val="center"/>
            <w:hideMark/>
          </w:tcPr>
          <w:p w14:paraId="42D7D35B"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r>
      <w:tr w:rsidR="00AC010F" w:rsidRPr="000A7FD1" w14:paraId="21A1B2A1" w14:textId="77777777" w:rsidTr="00D71ED5">
        <w:tblPrEx>
          <w:tblBorders>
            <w:top w:val="none" w:sz="0" w:space="0" w:color="auto"/>
            <w:left w:val="none" w:sz="0" w:space="0" w:color="auto"/>
            <w:bottom w:val="none" w:sz="0" w:space="0" w:color="auto"/>
            <w:right w:val="none" w:sz="0" w:space="0" w:color="auto"/>
          </w:tblBorders>
        </w:tblPrEx>
        <w:trPr>
          <w:trHeight w:val="1240"/>
        </w:trPr>
        <w:tc>
          <w:tcPr>
            <w:tcW w:w="410" w:type="pct"/>
            <w:vMerge/>
            <w:tcBorders>
              <w:top w:val="single" w:sz="4" w:space="0" w:color="000000"/>
              <w:left w:val="single" w:sz="12" w:space="0" w:color="auto"/>
              <w:bottom w:val="single" w:sz="8" w:space="0" w:color="auto"/>
              <w:right w:val="single" w:sz="4" w:space="0" w:color="auto"/>
            </w:tcBorders>
            <w:vAlign w:val="center"/>
            <w:hideMark/>
          </w:tcPr>
          <w:p w14:paraId="22BF713A"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tcBorders>
              <w:top w:val="nil"/>
              <w:left w:val="single" w:sz="4" w:space="0" w:color="auto"/>
              <w:bottom w:val="single" w:sz="4" w:space="0" w:color="000000"/>
              <w:right w:val="nil"/>
            </w:tcBorders>
            <w:vAlign w:val="center"/>
            <w:hideMark/>
          </w:tcPr>
          <w:p w14:paraId="256785EE" w14:textId="77777777" w:rsidR="00AC4220" w:rsidRPr="000A7FD1" w:rsidRDefault="00AC4220" w:rsidP="00AC4220">
            <w:pPr>
              <w:widowControl/>
              <w:adjustRightInd/>
              <w:spacing w:before="0" w:after="0"/>
              <w:textAlignment w:val="auto"/>
              <w:rPr>
                <w:rFonts w:cs="Arial"/>
                <w:color w:val="000000"/>
                <w:sz w:val="18"/>
                <w:szCs w:val="18"/>
              </w:rPr>
            </w:pPr>
          </w:p>
        </w:tc>
        <w:tc>
          <w:tcPr>
            <w:tcW w:w="349" w:type="pct"/>
            <w:gridSpan w:val="2"/>
            <w:tcBorders>
              <w:top w:val="nil"/>
              <w:left w:val="single" w:sz="8" w:space="0" w:color="auto"/>
              <w:bottom w:val="single" w:sz="4" w:space="0" w:color="auto"/>
              <w:right w:val="single" w:sz="4" w:space="0" w:color="auto"/>
            </w:tcBorders>
            <w:shd w:val="clear" w:color="000000" w:fill="FFFFFF"/>
            <w:noWrap/>
            <w:hideMark/>
          </w:tcPr>
          <w:p w14:paraId="0F89B65C"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79" w:type="pct"/>
            <w:tcBorders>
              <w:top w:val="nil"/>
              <w:left w:val="nil"/>
              <w:bottom w:val="single" w:sz="4" w:space="0" w:color="auto"/>
              <w:right w:val="single" w:sz="4" w:space="0" w:color="auto"/>
            </w:tcBorders>
            <w:shd w:val="clear" w:color="auto" w:fill="auto"/>
            <w:hideMark/>
          </w:tcPr>
          <w:p w14:paraId="3125920F"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1" w:type="pct"/>
            <w:gridSpan w:val="3"/>
            <w:tcBorders>
              <w:top w:val="single" w:sz="8" w:space="0" w:color="auto"/>
              <w:left w:val="nil"/>
              <w:bottom w:val="single" w:sz="4" w:space="0" w:color="auto"/>
              <w:right w:val="single" w:sz="8" w:space="0" w:color="auto"/>
            </w:tcBorders>
            <w:shd w:val="clear" w:color="auto" w:fill="auto"/>
            <w:hideMark/>
          </w:tcPr>
          <w:p w14:paraId="09610A7E"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 w:type="pct"/>
            <w:tcBorders>
              <w:top w:val="single" w:sz="8" w:space="0" w:color="auto"/>
              <w:left w:val="nil"/>
              <w:bottom w:val="single" w:sz="4" w:space="0" w:color="auto"/>
              <w:right w:val="nil"/>
            </w:tcBorders>
            <w:shd w:val="clear" w:color="000000" w:fill="000000"/>
            <w:hideMark/>
          </w:tcPr>
          <w:p w14:paraId="6ADC2A5C"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6" w:type="pct"/>
            <w:gridSpan w:val="4"/>
            <w:vMerge/>
            <w:tcBorders>
              <w:top w:val="single" w:sz="8" w:space="0" w:color="auto"/>
              <w:left w:val="single" w:sz="8" w:space="0" w:color="auto"/>
              <w:bottom w:val="single" w:sz="4" w:space="0" w:color="000000"/>
              <w:right w:val="single" w:sz="4" w:space="0" w:color="auto"/>
            </w:tcBorders>
            <w:vAlign w:val="center"/>
            <w:hideMark/>
          </w:tcPr>
          <w:p w14:paraId="1B51FA2B" w14:textId="77777777" w:rsidR="00AC4220" w:rsidRPr="000A7FD1" w:rsidRDefault="00AC4220" w:rsidP="00AC4220">
            <w:pPr>
              <w:widowControl/>
              <w:adjustRightInd/>
              <w:spacing w:before="0" w:after="0"/>
              <w:textAlignment w:val="auto"/>
              <w:rPr>
                <w:rFonts w:cs="Arial"/>
                <w:color w:val="000000"/>
                <w:sz w:val="18"/>
                <w:szCs w:val="18"/>
              </w:rPr>
            </w:pPr>
          </w:p>
        </w:tc>
        <w:tc>
          <w:tcPr>
            <w:tcW w:w="243" w:type="pct"/>
            <w:tcBorders>
              <w:top w:val="single" w:sz="8" w:space="0" w:color="auto"/>
              <w:left w:val="nil"/>
              <w:bottom w:val="single" w:sz="8" w:space="0" w:color="auto"/>
              <w:right w:val="nil"/>
            </w:tcBorders>
            <w:shd w:val="clear" w:color="000000" w:fill="FFFFFF"/>
            <w:vAlign w:val="center"/>
            <w:hideMark/>
          </w:tcPr>
          <w:p w14:paraId="32F7091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single" w:sz="8" w:space="0" w:color="auto"/>
              <w:left w:val="single" w:sz="4" w:space="0" w:color="auto"/>
              <w:bottom w:val="single" w:sz="8" w:space="0" w:color="auto"/>
              <w:right w:val="single" w:sz="8" w:space="0" w:color="auto"/>
            </w:tcBorders>
            <w:shd w:val="clear" w:color="000000" w:fill="FFFFFF"/>
            <w:noWrap/>
            <w:vAlign w:val="center"/>
            <w:hideMark/>
          </w:tcPr>
          <w:p w14:paraId="4A242CB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single" w:sz="8" w:space="0" w:color="auto"/>
              <w:left w:val="nil"/>
              <w:bottom w:val="single" w:sz="8" w:space="0" w:color="auto"/>
              <w:right w:val="single" w:sz="4" w:space="0" w:color="auto"/>
            </w:tcBorders>
            <w:shd w:val="clear" w:color="000000" w:fill="FFFFFF"/>
            <w:noWrap/>
            <w:vAlign w:val="center"/>
            <w:hideMark/>
          </w:tcPr>
          <w:p w14:paraId="68D44A42"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single" w:sz="8" w:space="0" w:color="auto"/>
              <w:left w:val="nil"/>
              <w:bottom w:val="single" w:sz="8" w:space="0" w:color="auto"/>
              <w:right w:val="single" w:sz="8" w:space="0" w:color="auto"/>
            </w:tcBorders>
            <w:shd w:val="clear" w:color="000000" w:fill="FFFFFF"/>
            <w:noWrap/>
            <w:vAlign w:val="center"/>
            <w:hideMark/>
          </w:tcPr>
          <w:p w14:paraId="3331C7C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single" w:sz="8" w:space="0" w:color="auto"/>
              <w:left w:val="nil"/>
              <w:bottom w:val="single" w:sz="8" w:space="0" w:color="auto"/>
              <w:right w:val="nil"/>
            </w:tcBorders>
            <w:shd w:val="clear" w:color="000000" w:fill="FFFFFF"/>
            <w:noWrap/>
            <w:vAlign w:val="center"/>
            <w:hideMark/>
          </w:tcPr>
          <w:p w14:paraId="17C901AB"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single" w:sz="8" w:space="0" w:color="auto"/>
              <w:left w:val="single" w:sz="4" w:space="0" w:color="auto"/>
              <w:bottom w:val="single" w:sz="8" w:space="0" w:color="auto"/>
              <w:right w:val="nil"/>
            </w:tcBorders>
            <w:shd w:val="clear" w:color="000000" w:fill="FFFFFF"/>
            <w:noWrap/>
            <w:vAlign w:val="center"/>
            <w:hideMark/>
          </w:tcPr>
          <w:p w14:paraId="1551CCB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single" w:sz="8" w:space="0" w:color="auto"/>
              <w:left w:val="single" w:sz="4" w:space="0" w:color="auto"/>
              <w:bottom w:val="single" w:sz="4" w:space="0" w:color="auto"/>
              <w:right w:val="single" w:sz="4" w:space="0" w:color="auto"/>
            </w:tcBorders>
            <w:shd w:val="clear" w:color="000000" w:fill="FFFFFF"/>
            <w:vAlign w:val="center"/>
            <w:hideMark/>
          </w:tcPr>
          <w:p w14:paraId="7E269EC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vMerge/>
            <w:tcBorders>
              <w:top w:val="nil"/>
              <w:left w:val="single" w:sz="4" w:space="0" w:color="auto"/>
              <w:bottom w:val="single" w:sz="4" w:space="0" w:color="000000"/>
              <w:right w:val="single" w:sz="12" w:space="0" w:color="auto"/>
            </w:tcBorders>
            <w:vAlign w:val="center"/>
            <w:hideMark/>
          </w:tcPr>
          <w:p w14:paraId="2AA54701" w14:textId="77777777" w:rsidR="00AC4220" w:rsidRPr="000A7FD1" w:rsidRDefault="00AC4220" w:rsidP="00AC4220">
            <w:pPr>
              <w:widowControl/>
              <w:adjustRightInd/>
              <w:spacing w:before="0" w:after="0"/>
              <w:textAlignment w:val="auto"/>
              <w:rPr>
                <w:rFonts w:cs="Arial"/>
                <w:color w:val="000000"/>
                <w:sz w:val="18"/>
                <w:szCs w:val="18"/>
              </w:rPr>
            </w:pPr>
          </w:p>
        </w:tc>
      </w:tr>
      <w:tr w:rsidR="00AC010F" w:rsidRPr="000A7FD1" w14:paraId="7361723D" w14:textId="77777777" w:rsidTr="00D71ED5">
        <w:tblPrEx>
          <w:tblBorders>
            <w:top w:val="none" w:sz="0" w:space="0" w:color="auto"/>
            <w:left w:val="none" w:sz="0" w:space="0" w:color="auto"/>
            <w:bottom w:val="none" w:sz="0" w:space="0" w:color="auto"/>
            <w:right w:val="none" w:sz="0" w:space="0" w:color="auto"/>
          </w:tblBorders>
        </w:tblPrEx>
        <w:trPr>
          <w:trHeight w:val="1906"/>
        </w:trPr>
        <w:tc>
          <w:tcPr>
            <w:tcW w:w="410" w:type="pct"/>
            <w:vMerge/>
            <w:tcBorders>
              <w:top w:val="single" w:sz="4" w:space="0" w:color="000000"/>
              <w:left w:val="single" w:sz="12" w:space="0" w:color="auto"/>
              <w:bottom w:val="single" w:sz="8" w:space="0" w:color="auto"/>
              <w:right w:val="single" w:sz="4" w:space="0" w:color="auto"/>
            </w:tcBorders>
            <w:vAlign w:val="center"/>
            <w:hideMark/>
          </w:tcPr>
          <w:p w14:paraId="534E85FB"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val="restart"/>
            <w:tcBorders>
              <w:top w:val="nil"/>
              <w:left w:val="single" w:sz="4" w:space="0" w:color="auto"/>
              <w:bottom w:val="single" w:sz="4" w:space="0" w:color="000000"/>
              <w:right w:val="nil"/>
            </w:tcBorders>
            <w:shd w:val="clear" w:color="auto" w:fill="auto"/>
            <w:hideMark/>
          </w:tcPr>
          <w:p w14:paraId="0F2F2453" w14:textId="676D8043" w:rsidR="00D13403"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u w:val="single"/>
              </w:rPr>
              <w:t>Disclosure</w:t>
            </w:r>
            <w:r w:rsidRPr="000A7FD1">
              <w:rPr>
                <w:rFonts w:cs="Arial"/>
                <w:color w:val="000000"/>
                <w:sz w:val="18"/>
                <w:szCs w:val="18"/>
              </w:rPr>
              <w:t>:</w:t>
            </w:r>
            <w:r w:rsidRPr="000A7FD1">
              <w:rPr>
                <w:rFonts w:cs="Arial"/>
                <w:color w:val="000000"/>
                <w:sz w:val="18"/>
                <w:szCs w:val="18"/>
              </w:rPr>
              <w:br/>
              <w:t>17. Note disclosures are not appropriately measured or described or are not relevant and understandable in the context of the requirements of U.S. GAAP. Not all note disclosures that should have been included in the financial statements have been included. Disclosed transactions and events did not actually occur or pertain to the entity.</w:t>
            </w:r>
          </w:p>
          <w:p w14:paraId="446C129B" w14:textId="77777777" w:rsidR="00C35877" w:rsidRPr="000A7FD1" w:rsidRDefault="00C35877" w:rsidP="00AC4220">
            <w:pPr>
              <w:widowControl/>
              <w:adjustRightInd/>
              <w:spacing w:before="0" w:after="0"/>
              <w:textAlignment w:val="auto"/>
              <w:rPr>
                <w:rFonts w:cs="Arial"/>
                <w:color w:val="000000"/>
                <w:sz w:val="18"/>
                <w:szCs w:val="18"/>
              </w:rPr>
            </w:pPr>
          </w:p>
          <w:p w14:paraId="447D5021" w14:textId="77777777" w:rsidR="00C35877" w:rsidRPr="000A7FD1" w:rsidRDefault="00C35877" w:rsidP="00AC4220">
            <w:pPr>
              <w:widowControl/>
              <w:adjustRightInd/>
              <w:spacing w:before="0" w:after="0"/>
              <w:textAlignment w:val="auto"/>
              <w:rPr>
                <w:rFonts w:cs="Arial"/>
                <w:color w:val="000000"/>
                <w:sz w:val="18"/>
                <w:szCs w:val="18"/>
              </w:rPr>
            </w:pPr>
          </w:p>
          <w:p w14:paraId="0676D091" w14:textId="77777777" w:rsidR="00C35877" w:rsidRPr="000A7FD1" w:rsidRDefault="00C35877" w:rsidP="00AC4220">
            <w:pPr>
              <w:widowControl/>
              <w:adjustRightInd/>
              <w:spacing w:before="0" w:after="0"/>
              <w:textAlignment w:val="auto"/>
              <w:rPr>
                <w:rFonts w:cs="Arial"/>
                <w:color w:val="000000"/>
                <w:sz w:val="18"/>
                <w:szCs w:val="18"/>
              </w:rPr>
            </w:pPr>
          </w:p>
        </w:tc>
        <w:tc>
          <w:tcPr>
            <w:tcW w:w="349" w:type="pct"/>
            <w:gridSpan w:val="2"/>
            <w:tcBorders>
              <w:top w:val="nil"/>
              <w:left w:val="single" w:sz="8" w:space="0" w:color="auto"/>
              <w:bottom w:val="single" w:sz="4" w:space="0" w:color="auto"/>
              <w:right w:val="single" w:sz="4" w:space="0" w:color="auto"/>
            </w:tcBorders>
            <w:shd w:val="clear" w:color="000000" w:fill="FFFFFF"/>
            <w:noWrap/>
            <w:hideMark/>
          </w:tcPr>
          <w:p w14:paraId="172C111C"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79" w:type="pct"/>
            <w:tcBorders>
              <w:top w:val="nil"/>
              <w:left w:val="nil"/>
              <w:bottom w:val="single" w:sz="4" w:space="0" w:color="auto"/>
              <w:right w:val="single" w:sz="4" w:space="0" w:color="auto"/>
            </w:tcBorders>
            <w:shd w:val="clear" w:color="auto" w:fill="auto"/>
            <w:hideMark/>
          </w:tcPr>
          <w:p w14:paraId="10992F20"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1" w:type="pct"/>
            <w:gridSpan w:val="3"/>
            <w:tcBorders>
              <w:top w:val="nil"/>
              <w:left w:val="nil"/>
              <w:bottom w:val="single" w:sz="4" w:space="0" w:color="auto"/>
              <w:right w:val="single" w:sz="8" w:space="0" w:color="auto"/>
            </w:tcBorders>
            <w:shd w:val="clear" w:color="auto" w:fill="auto"/>
            <w:hideMark/>
          </w:tcPr>
          <w:p w14:paraId="5FB18AD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 w:type="pct"/>
            <w:tcBorders>
              <w:top w:val="nil"/>
              <w:left w:val="nil"/>
              <w:bottom w:val="nil"/>
              <w:right w:val="nil"/>
            </w:tcBorders>
            <w:shd w:val="clear" w:color="000000" w:fill="000000"/>
            <w:hideMark/>
          </w:tcPr>
          <w:p w14:paraId="3927EDAA"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6" w:type="pct"/>
            <w:gridSpan w:val="4"/>
            <w:vMerge w:val="restart"/>
            <w:tcBorders>
              <w:top w:val="nil"/>
              <w:left w:val="single" w:sz="8" w:space="0" w:color="auto"/>
              <w:bottom w:val="single" w:sz="4" w:space="0" w:color="000000"/>
              <w:right w:val="single" w:sz="4" w:space="0" w:color="auto"/>
            </w:tcBorders>
            <w:shd w:val="clear" w:color="000000" w:fill="FFFFFF"/>
            <w:hideMark/>
          </w:tcPr>
          <w:p w14:paraId="4BD555E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xml:space="preserve">17. Note disclosures are appropriately measured and described and are relevant and understandable in the context of the requirements of U.S. GAAP. All note disclosures that should have been included in the financial statements have been included. Disclosed transactions and events have occurred and pertain to the entity. </w:t>
            </w:r>
          </w:p>
        </w:tc>
        <w:tc>
          <w:tcPr>
            <w:tcW w:w="243" w:type="pct"/>
            <w:tcBorders>
              <w:top w:val="single" w:sz="8" w:space="0" w:color="auto"/>
              <w:left w:val="nil"/>
              <w:bottom w:val="nil"/>
              <w:right w:val="nil"/>
            </w:tcBorders>
            <w:shd w:val="clear" w:color="000000" w:fill="FFFFFF"/>
            <w:vAlign w:val="center"/>
            <w:hideMark/>
          </w:tcPr>
          <w:p w14:paraId="524D0270"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single" w:sz="8" w:space="0" w:color="auto"/>
              <w:left w:val="single" w:sz="4" w:space="0" w:color="auto"/>
              <w:bottom w:val="nil"/>
              <w:right w:val="single" w:sz="8" w:space="0" w:color="auto"/>
            </w:tcBorders>
            <w:shd w:val="clear" w:color="000000" w:fill="FFFFFF"/>
            <w:noWrap/>
            <w:vAlign w:val="center"/>
            <w:hideMark/>
          </w:tcPr>
          <w:p w14:paraId="6F63712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single" w:sz="8" w:space="0" w:color="auto"/>
              <w:left w:val="nil"/>
              <w:bottom w:val="nil"/>
              <w:right w:val="single" w:sz="4" w:space="0" w:color="auto"/>
            </w:tcBorders>
            <w:shd w:val="clear" w:color="000000" w:fill="FFFFFF"/>
            <w:noWrap/>
            <w:vAlign w:val="center"/>
            <w:hideMark/>
          </w:tcPr>
          <w:p w14:paraId="54F7F526"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single" w:sz="8" w:space="0" w:color="auto"/>
              <w:left w:val="nil"/>
              <w:bottom w:val="nil"/>
              <w:right w:val="single" w:sz="8" w:space="0" w:color="auto"/>
            </w:tcBorders>
            <w:shd w:val="clear" w:color="000000" w:fill="FFFFFF"/>
            <w:noWrap/>
            <w:vAlign w:val="center"/>
            <w:hideMark/>
          </w:tcPr>
          <w:p w14:paraId="47849DE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single" w:sz="8" w:space="0" w:color="auto"/>
              <w:left w:val="nil"/>
              <w:bottom w:val="nil"/>
              <w:right w:val="nil"/>
            </w:tcBorders>
            <w:shd w:val="clear" w:color="000000" w:fill="FFFFFF"/>
            <w:noWrap/>
            <w:vAlign w:val="center"/>
            <w:hideMark/>
          </w:tcPr>
          <w:p w14:paraId="45A989DE"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single" w:sz="8" w:space="0" w:color="auto"/>
              <w:left w:val="single" w:sz="4" w:space="0" w:color="auto"/>
              <w:bottom w:val="nil"/>
              <w:right w:val="nil"/>
            </w:tcBorders>
            <w:shd w:val="clear" w:color="000000" w:fill="FFFFFF"/>
            <w:noWrap/>
            <w:vAlign w:val="center"/>
            <w:hideMark/>
          </w:tcPr>
          <w:p w14:paraId="141AEE48"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nil"/>
              <w:left w:val="single" w:sz="4" w:space="0" w:color="auto"/>
              <w:bottom w:val="nil"/>
              <w:right w:val="single" w:sz="4" w:space="0" w:color="auto"/>
            </w:tcBorders>
            <w:shd w:val="clear" w:color="000000" w:fill="FFFFFF"/>
            <w:vAlign w:val="center"/>
            <w:hideMark/>
          </w:tcPr>
          <w:p w14:paraId="6833F17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vMerge w:val="restart"/>
            <w:tcBorders>
              <w:top w:val="nil"/>
              <w:left w:val="single" w:sz="4" w:space="0" w:color="auto"/>
              <w:bottom w:val="single" w:sz="4" w:space="0" w:color="000000"/>
              <w:right w:val="single" w:sz="12" w:space="0" w:color="auto"/>
            </w:tcBorders>
            <w:shd w:val="clear" w:color="000000" w:fill="FFFFFF"/>
            <w:vAlign w:val="center"/>
            <w:hideMark/>
          </w:tcPr>
          <w:p w14:paraId="2BC30347"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r>
      <w:tr w:rsidR="00AC010F" w:rsidRPr="000A7FD1" w14:paraId="433781BB" w14:textId="77777777" w:rsidTr="00D71ED5">
        <w:tblPrEx>
          <w:tblBorders>
            <w:top w:val="none" w:sz="0" w:space="0" w:color="auto"/>
            <w:left w:val="none" w:sz="0" w:space="0" w:color="auto"/>
            <w:bottom w:val="none" w:sz="0" w:space="0" w:color="auto"/>
            <w:right w:val="none" w:sz="0" w:space="0" w:color="auto"/>
          </w:tblBorders>
        </w:tblPrEx>
        <w:trPr>
          <w:trHeight w:val="2325"/>
        </w:trPr>
        <w:tc>
          <w:tcPr>
            <w:tcW w:w="410" w:type="pct"/>
            <w:vMerge/>
            <w:tcBorders>
              <w:top w:val="single" w:sz="4" w:space="0" w:color="000000"/>
              <w:left w:val="single" w:sz="12" w:space="0" w:color="auto"/>
              <w:bottom w:val="single" w:sz="8" w:space="0" w:color="auto"/>
              <w:right w:val="single" w:sz="4" w:space="0" w:color="auto"/>
            </w:tcBorders>
            <w:vAlign w:val="center"/>
            <w:hideMark/>
          </w:tcPr>
          <w:p w14:paraId="7C6877E1"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tcBorders>
              <w:top w:val="nil"/>
              <w:left w:val="single" w:sz="4" w:space="0" w:color="auto"/>
              <w:bottom w:val="single" w:sz="8" w:space="0" w:color="auto"/>
              <w:right w:val="nil"/>
            </w:tcBorders>
            <w:vAlign w:val="center"/>
            <w:hideMark/>
          </w:tcPr>
          <w:p w14:paraId="4ECBFE54" w14:textId="77777777" w:rsidR="00AC4220" w:rsidRPr="000A7FD1" w:rsidRDefault="00AC4220" w:rsidP="00AC4220">
            <w:pPr>
              <w:widowControl/>
              <w:adjustRightInd/>
              <w:spacing w:before="0" w:after="0"/>
              <w:textAlignment w:val="auto"/>
              <w:rPr>
                <w:rFonts w:cs="Arial"/>
                <w:color w:val="000000"/>
                <w:sz w:val="18"/>
                <w:szCs w:val="18"/>
              </w:rPr>
            </w:pPr>
          </w:p>
        </w:tc>
        <w:tc>
          <w:tcPr>
            <w:tcW w:w="349" w:type="pct"/>
            <w:gridSpan w:val="2"/>
            <w:tcBorders>
              <w:top w:val="nil"/>
              <w:left w:val="single" w:sz="8" w:space="0" w:color="auto"/>
              <w:bottom w:val="single" w:sz="8" w:space="0" w:color="auto"/>
              <w:right w:val="single" w:sz="4" w:space="0" w:color="auto"/>
            </w:tcBorders>
            <w:shd w:val="clear" w:color="000000" w:fill="FFFFFF"/>
            <w:noWrap/>
            <w:hideMark/>
          </w:tcPr>
          <w:p w14:paraId="02E8C5A5"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79" w:type="pct"/>
            <w:tcBorders>
              <w:top w:val="nil"/>
              <w:left w:val="nil"/>
              <w:bottom w:val="single" w:sz="8" w:space="0" w:color="auto"/>
              <w:right w:val="single" w:sz="4" w:space="0" w:color="auto"/>
            </w:tcBorders>
            <w:shd w:val="clear" w:color="auto" w:fill="auto"/>
            <w:hideMark/>
          </w:tcPr>
          <w:p w14:paraId="36F2F859"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1" w:type="pct"/>
            <w:gridSpan w:val="3"/>
            <w:tcBorders>
              <w:top w:val="nil"/>
              <w:left w:val="nil"/>
              <w:bottom w:val="single" w:sz="8" w:space="0" w:color="auto"/>
              <w:right w:val="single" w:sz="8" w:space="0" w:color="auto"/>
            </w:tcBorders>
            <w:shd w:val="clear" w:color="auto" w:fill="auto"/>
            <w:hideMark/>
          </w:tcPr>
          <w:p w14:paraId="222E4B06"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 w:type="pct"/>
            <w:tcBorders>
              <w:top w:val="nil"/>
              <w:left w:val="nil"/>
              <w:bottom w:val="single" w:sz="8" w:space="0" w:color="auto"/>
              <w:right w:val="nil"/>
            </w:tcBorders>
            <w:shd w:val="clear" w:color="000000" w:fill="000000"/>
            <w:hideMark/>
          </w:tcPr>
          <w:p w14:paraId="6500E3BE"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6" w:type="pct"/>
            <w:gridSpan w:val="4"/>
            <w:vMerge/>
            <w:tcBorders>
              <w:top w:val="nil"/>
              <w:left w:val="single" w:sz="8" w:space="0" w:color="auto"/>
              <w:bottom w:val="single" w:sz="8" w:space="0" w:color="auto"/>
              <w:right w:val="single" w:sz="4" w:space="0" w:color="auto"/>
            </w:tcBorders>
            <w:vAlign w:val="center"/>
            <w:hideMark/>
          </w:tcPr>
          <w:p w14:paraId="6E2DE38F" w14:textId="77777777" w:rsidR="00AC4220" w:rsidRPr="000A7FD1" w:rsidRDefault="00AC4220" w:rsidP="00AC4220">
            <w:pPr>
              <w:widowControl/>
              <w:adjustRightInd/>
              <w:spacing w:before="0" w:after="0"/>
              <w:textAlignment w:val="auto"/>
              <w:rPr>
                <w:rFonts w:cs="Arial"/>
                <w:color w:val="000000"/>
                <w:sz w:val="18"/>
                <w:szCs w:val="18"/>
              </w:rPr>
            </w:pPr>
          </w:p>
        </w:tc>
        <w:tc>
          <w:tcPr>
            <w:tcW w:w="243" w:type="pct"/>
            <w:tcBorders>
              <w:top w:val="nil"/>
              <w:left w:val="nil"/>
              <w:bottom w:val="single" w:sz="8" w:space="0" w:color="auto"/>
              <w:right w:val="nil"/>
            </w:tcBorders>
            <w:shd w:val="clear" w:color="000000" w:fill="FFFFFF"/>
            <w:vAlign w:val="center"/>
            <w:hideMark/>
          </w:tcPr>
          <w:p w14:paraId="717FE898"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nil"/>
              <w:left w:val="single" w:sz="4" w:space="0" w:color="auto"/>
              <w:bottom w:val="single" w:sz="8" w:space="0" w:color="auto"/>
              <w:right w:val="single" w:sz="8" w:space="0" w:color="auto"/>
            </w:tcBorders>
            <w:shd w:val="clear" w:color="000000" w:fill="FFFFFF"/>
            <w:noWrap/>
            <w:vAlign w:val="center"/>
            <w:hideMark/>
          </w:tcPr>
          <w:p w14:paraId="530B14F7"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nil"/>
              <w:left w:val="nil"/>
              <w:bottom w:val="single" w:sz="8" w:space="0" w:color="auto"/>
              <w:right w:val="single" w:sz="4" w:space="0" w:color="auto"/>
            </w:tcBorders>
            <w:shd w:val="clear" w:color="000000" w:fill="FFFFFF"/>
            <w:noWrap/>
            <w:vAlign w:val="center"/>
            <w:hideMark/>
          </w:tcPr>
          <w:p w14:paraId="6B302A69"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nil"/>
              <w:left w:val="nil"/>
              <w:bottom w:val="single" w:sz="8" w:space="0" w:color="auto"/>
              <w:right w:val="single" w:sz="8" w:space="0" w:color="auto"/>
            </w:tcBorders>
            <w:shd w:val="clear" w:color="000000" w:fill="FFFFFF"/>
            <w:noWrap/>
            <w:vAlign w:val="center"/>
            <w:hideMark/>
          </w:tcPr>
          <w:p w14:paraId="31D7E074"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nil"/>
              <w:left w:val="nil"/>
              <w:bottom w:val="single" w:sz="8" w:space="0" w:color="auto"/>
              <w:right w:val="nil"/>
            </w:tcBorders>
            <w:shd w:val="clear" w:color="000000" w:fill="FFFFFF"/>
            <w:noWrap/>
            <w:vAlign w:val="center"/>
            <w:hideMark/>
          </w:tcPr>
          <w:p w14:paraId="41CA819B"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nil"/>
              <w:left w:val="single" w:sz="4" w:space="0" w:color="auto"/>
              <w:bottom w:val="single" w:sz="8" w:space="0" w:color="auto"/>
              <w:right w:val="nil"/>
            </w:tcBorders>
            <w:shd w:val="clear" w:color="000000" w:fill="FFFFFF"/>
            <w:noWrap/>
            <w:vAlign w:val="center"/>
            <w:hideMark/>
          </w:tcPr>
          <w:p w14:paraId="10DAEB62"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nil"/>
              <w:left w:val="single" w:sz="4" w:space="0" w:color="auto"/>
              <w:bottom w:val="single" w:sz="8" w:space="0" w:color="auto"/>
              <w:right w:val="single" w:sz="4" w:space="0" w:color="auto"/>
            </w:tcBorders>
            <w:shd w:val="clear" w:color="000000" w:fill="FFFFFF"/>
            <w:vAlign w:val="center"/>
            <w:hideMark/>
          </w:tcPr>
          <w:p w14:paraId="3984BA6F"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vMerge/>
            <w:tcBorders>
              <w:top w:val="nil"/>
              <w:left w:val="single" w:sz="4" w:space="0" w:color="auto"/>
              <w:bottom w:val="single" w:sz="8" w:space="0" w:color="auto"/>
              <w:right w:val="single" w:sz="12" w:space="0" w:color="auto"/>
            </w:tcBorders>
            <w:vAlign w:val="center"/>
            <w:hideMark/>
          </w:tcPr>
          <w:p w14:paraId="33F11821" w14:textId="77777777" w:rsidR="00AC4220" w:rsidRPr="000A7FD1" w:rsidRDefault="00AC4220" w:rsidP="00AC4220">
            <w:pPr>
              <w:widowControl/>
              <w:adjustRightInd/>
              <w:spacing w:before="0" w:after="0"/>
              <w:textAlignment w:val="auto"/>
              <w:rPr>
                <w:rFonts w:cs="Arial"/>
                <w:color w:val="000000"/>
                <w:sz w:val="18"/>
                <w:szCs w:val="18"/>
              </w:rPr>
            </w:pPr>
          </w:p>
        </w:tc>
      </w:tr>
      <w:tr w:rsidR="00AC010F" w:rsidRPr="000A7FD1" w14:paraId="4CF680F9" w14:textId="77777777" w:rsidTr="00D71ED5">
        <w:tblPrEx>
          <w:tblBorders>
            <w:top w:val="none" w:sz="0" w:space="0" w:color="auto"/>
            <w:left w:val="none" w:sz="0" w:space="0" w:color="auto"/>
            <w:bottom w:val="none" w:sz="0" w:space="0" w:color="auto"/>
            <w:right w:val="none" w:sz="0" w:space="0" w:color="auto"/>
          </w:tblBorders>
        </w:tblPrEx>
        <w:trPr>
          <w:trHeight w:val="1335"/>
        </w:trPr>
        <w:tc>
          <w:tcPr>
            <w:tcW w:w="410" w:type="pct"/>
            <w:vMerge w:val="restart"/>
            <w:tcBorders>
              <w:top w:val="single" w:sz="8" w:space="0" w:color="auto"/>
              <w:left w:val="single" w:sz="12" w:space="0" w:color="auto"/>
              <w:bottom w:val="single" w:sz="4" w:space="0" w:color="000000"/>
              <w:right w:val="single" w:sz="4" w:space="0" w:color="auto"/>
            </w:tcBorders>
            <w:shd w:val="clear" w:color="auto" w:fill="auto"/>
            <w:hideMark/>
          </w:tcPr>
          <w:p w14:paraId="4378B14F"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lastRenderedPageBreak/>
              <w:t> </w:t>
            </w:r>
          </w:p>
        </w:tc>
        <w:tc>
          <w:tcPr>
            <w:tcW w:w="535" w:type="pct"/>
            <w:gridSpan w:val="2"/>
            <w:vMerge w:val="restart"/>
            <w:tcBorders>
              <w:top w:val="single" w:sz="8" w:space="0" w:color="auto"/>
              <w:left w:val="single" w:sz="4" w:space="0" w:color="auto"/>
              <w:bottom w:val="single" w:sz="4" w:space="0" w:color="000000"/>
              <w:right w:val="nil"/>
            </w:tcBorders>
            <w:shd w:val="clear" w:color="auto" w:fill="auto"/>
            <w:hideMark/>
          </w:tcPr>
          <w:p w14:paraId="2E63ACAC"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u w:val="single"/>
              </w:rPr>
              <w:t>Segregation of duties</w:t>
            </w:r>
            <w:r w:rsidRPr="000A7FD1">
              <w:rPr>
                <w:rFonts w:cs="Arial"/>
                <w:color w:val="000000"/>
                <w:sz w:val="18"/>
                <w:szCs w:val="18"/>
              </w:rPr>
              <w:t>:</w:t>
            </w:r>
            <w:r w:rsidR="00C35877" w:rsidRPr="000A7FD1">
              <w:rPr>
                <w:rStyle w:val="FootnoteReference"/>
                <w:rFonts w:cs="Arial"/>
                <w:color w:val="000000"/>
                <w:sz w:val="18"/>
                <w:szCs w:val="18"/>
              </w:rPr>
              <w:footnoteReference w:id="24"/>
            </w:r>
            <w:r w:rsidRPr="000A7FD1">
              <w:rPr>
                <w:rFonts w:ascii="HoloLens MDL2 Assets" w:hAnsi="HoloLens MDL2 Assets" w:cs="Arial"/>
                <w:color w:val="000000"/>
                <w:sz w:val="18"/>
                <w:szCs w:val="18"/>
              </w:rPr>
              <w:t xml:space="preserve"> </w:t>
            </w:r>
            <w:r w:rsidRPr="000A7FD1">
              <w:rPr>
                <w:rFonts w:cs="Arial"/>
                <w:color w:val="000000"/>
                <w:sz w:val="18"/>
                <w:szCs w:val="18"/>
              </w:rPr>
              <w:br/>
              <w:t>18. The entity is exposed to loss of assets and various potential misstatements, including certain of those above, as the result of inadequate segregation of duties.</w:t>
            </w:r>
          </w:p>
          <w:p w14:paraId="0743E5BD" w14:textId="77777777" w:rsidR="00C35877" w:rsidRPr="000A7FD1" w:rsidRDefault="00C35877" w:rsidP="00AC4220">
            <w:pPr>
              <w:widowControl/>
              <w:adjustRightInd/>
              <w:spacing w:before="0" w:after="0"/>
              <w:textAlignment w:val="auto"/>
              <w:rPr>
                <w:rFonts w:cs="Arial"/>
                <w:color w:val="000000"/>
                <w:sz w:val="18"/>
                <w:szCs w:val="18"/>
              </w:rPr>
            </w:pPr>
          </w:p>
          <w:p w14:paraId="0836FD64" w14:textId="4B04A7C6" w:rsidR="00C35877" w:rsidRPr="000A7FD1" w:rsidRDefault="00C35877" w:rsidP="00AC4220">
            <w:pPr>
              <w:widowControl/>
              <w:adjustRightInd/>
              <w:spacing w:before="0" w:after="0"/>
              <w:textAlignment w:val="auto"/>
              <w:rPr>
                <w:rFonts w:cs="Arial"/>
                <w:color w:val="000000"/>
                <w:sz w:val="18"/>
                <w:szCs w:val="18"/>
              </w:rPr>
            </w:pPr>
          </w:p>
        </w:tc>
        <w:tc>
          <w:tcPr>
            <w:tcW w:w="1019" w:type="pct"/>
            <w:gridSpan w:val="6"/>
            <w:vMerge w:val="restart"/>
            <w:tcBorders>
              <w:top w:val="single" w:sz="8" w:space="0" w:color="auto"/>
              <w:left w:val="single" w:sz="8" w:space="0" w:color="auto"/>
              <w:bottom w:val="single" w:sz="8" w:space="0" w:color="auto"/>
              <w:right w:val="single" w:sz="8" w:space="0" w:color="000000"/>
            </w:tcBorders>
            <w:shd w:val="clear" w:color="000000" w:fill="D9D9D9"/>
            <w:hideMark/>
          </w:tcPr>
          <w:p w14:paraId="40A3A910"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N/A</w:t>
            </w:r>
          </w:p>
        </w:tc>
        <w:tc>
          <w:tcPr>
            <w:tcW w:w="72" w:type="pct"/>
            <w:tcBorders>
              <w:top w:val="single" w:sz="8" w:space="0" w:color="auto"/>
              <w:left w:val="nil"/>
              <w:bottom w:val="single" w:sz="8" w:space="0" w:color="auto"/>
              <w:right w:val="nil"/>
            </w:tcBorders>
            <w:shd w:val="clear" w:color="000000" w:fill="000000"/>
            <w:hideMark/>
          </w:tcPr>
          <w:p w14:paraId="6199AC7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6" w:type="pct"/>
            <w:gridSpan w:val="4"/>
            <w:vMerge w:val="restart"/>
            <w:tcBorders>
              <w:top w:val="single" w:sz="8" w:space="0" w:color="auto"/>
              <w:left w:val="single" w:sz="8" w:space="0" w:color="auto"/>
              <w:bottom w:val="single" w:sz="8" w:space="0" w:color="auto"/>
              <w:right w:val="single" w:sz="4" w:space="0" w:color="auto"/>
            </w:tcBorders>
            <w:shd w:val="clear" w:color="000000" w:fill="FFFFFF"/>
            <w:hideMark/>
          </w:tcPr>
          <w:p w14:paraId="5F795EE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18. Persons do not have uncontrolled access to both assets and records; they are not assigned duties to put them in a position that would allow them to both commit and conceal errors or fraud.</w:t>
            </w:r>
          </w:p>
        </w:tc>
        <w:tc>
          <w:tcPr>
            <w:tcW w:w="243" w:type="pct"/>
            <w:tcBorders>
              <w:top w:val="single" w:sz="8" w:space="0" w:color="auto"/>
              <w:left w:val="nil"/>
              <w:bottom w:val="nil"/>
              <w:right w:val="nil"/>
            </w:tcBorders>
            <w:shd w:val="clear" w:color="000000" w:fill="FFFFFF"/>
            <w:vAlign w:val="center"/>
            <w:hideMark/>
          </w:tcPr>
          <w:p w14:paraId="4E3A23A0"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single" w:sz="8" w:space="0" w:color="auto"/>
              <w:left w:val="single" w:sz="4" w:space="0" w:color="auto"/>
              <w:bottom w:val="nil"/>
              <w:right w:val="single" w:sz="8" w:space="0" w:color="auto"/>
            </w:tcBorders>
            <w:shd w:val="clear" w:color="000000" w:fill="FFFFFF"/>
            <w:noWrap/>
            <w:vAlign w:val="center"/>
            <w:hideMark/>
          </w:tcPr>
          <w:p w14:paraId="27757FF4"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single" w:sz="8" w:space="0" w:color="auto"/>
              <w:left w:val="nil"/>
              <w:bottom w:val="nil"/>
              <w:right w:val="single" w:sz="4" w:space="0" w:color="auto"/>
            </w:tcBorders>
            <w:shd w:val="clear" w:color="000000" w:fill="FFFFFF"/>
            <w:noWrap/>
            <w:vAlign w:val="center"/>
            <w:hideMark/>
          </w:tcPr>
          <w:p w14:paraId="61BA6A69"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single" w:sz="8" w:space="0" w:color="auto"/>
              <w:left w:val="nil"/>
              <w:bottom w:val="nil"/>
              <w:right w:val="single" w:sz="8" w:space="0" w:color="auto"/>
            </w:tcBorders>
            <w:shd w:val="clear" w:color="000000" w:fill="FFFFFF"/>
            <w:noWrap/>
            <w:vAlign w:val="center"/>
            <w:hideMark/>
          </w:tcPr>
          <w:p w14:paraId="479135E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single" w:sz="8" w:space="0" w:color="auto"/>
              <w:left w:val="nil"/>
              <w:bottom w:val="nil"/>
              <w:right w:val="nil"/>
            </w:tcBorders>
            <w:shd w:val="clear" w:color="000000" w:fill="FFFFFF"/>
            <w:noWrap/>
            <w:vAlign w:val="center"/>
            <w:hideMark/>
          </w:tcPr>
          <w:p w14:paraId="28CCDC9F"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single" w:sz="8" w:space="0" w:color="auto"/>
              <w:left w:val="single" w:sz="4" w:space="0" w:color="auto"/>
              <w:bottom w:val="nil"/>
              <w:right w:val="nil"/>
            </w:tcBorders>
            <w:shd w:val="clear" w:color="000000" w:fill="FFFFFF"/>
            <w:noWrap/>
            <w:vAlign w:val="center"/>
            <w:hideMark/>
          </w:tcPr>
          <w:p w14:paraId="5638781B"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single" w:sz="8" w:space="0" w:color="auto"/>
              <w:left w:val="single" w:sz="4" w:space="0" w:color="auto"/>
              <w:bottom w:val="nil"/>
              <w:right w:val="single" w:sz="4" w:space="0" w:color="auto"/>
            </w:tcBorders>
            <w:shd w:val="clear" w:color="000000" w:fill="FFFFFF"/>
            <w:vAlign w:val="center"/>
            <w:hideMark/>
          </w:tcPr>
          <w:p w14:paraId="4F64946D"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vMerge w:val="restart"/>
            <w:tcBorders>
              <w:top w:val="single" w:sz="8" w:space="0" w:color="auto"/>
              <w:left w:val="single" w:sz="4" w:space="0" w:color="auto"/>
              <w:bottom w:val="single" w:sz="4" w:space="0" w:color="000000"/>
              <w:right w:val="single" w:sz="12" w:space="0" w:color="auto"/>
            </w:tcBorders>
            <w:shd w:val="clear" w:color="auto" w:fill="auto"/>
            <w:hideMark/>
          </w:tcPr>
          <w:p w14:paraId="609EF3A9" w14:textId="521ECEF1" w:rsidR="00AC4220" w:rsidRPr="000A7FD1" w:rsidRDefault="00E3718D" w:rsidP="00AC4220">
            <w:pPr>
              <w:widowControl/>
              <w:adjustRightInd/>
              <w:spacing w:before="0" w:after="0"/>
              <w:textAlignment w:val="auto"/>
              <w:rPr>
                <w:rFonts w:cs="Arial"/>
                <w:color w:val="000000"/>
                <w:sz w:val="18"/>
                <w:szCs w:val="18"/>
              </w:rPr>
            </w:pPr>
            <w:r w:rsidRPr="000A7FD1">
              <w:rPr>
                <w:rFonts w:cs="Arial"/>
                <w:color w:val="000000"/>
                <w:sz w:val="18"/>
                <w:szCs w:val="18"/>
              </w:rPr>
              <w:t>[</w:t>
            </w:r>
            <w:r w:rsidR="00AC4220" w:rsidRPr="000A7FD1">
              <w:rPr>
                <w:rFonts w:cs="Arial"/>
                <w:color w:val="000000"/>
                <w:sz w:val="18"/>
                <w:szCs w:val="18"/>
              </w:rPr>
              <w:t>Reference the control risk assess</w:t>
            </w:r>
            <w:r w:rsidR="002A7208" w:rsidRPr="000A7FD1">
              <w:rPr>
                <w:rFonts w:cs="Arial"/>
                <w:color w:val="000000"/>
                <w:sz w:val="18"/>
                <w:szCs w:val="18"/>
              </w:rPr>
              <w:t>-</w:t>
            </w:r>
            <w:proofErr w:type="spellStart"/>
            <w:r w:rsidR="00AC4220" w:rsidRPr="000A7FD1">
              <w:rPr>
                <w:rFonts w:cs="Arial"/>
                <w:color w:val="000000"/>
                <w:sz w:val="18"/>
                <w:szCs w:val="18"/>
              </w:rPr>
              <w:t>ments</w:t>
            </w:r>
            <w:proofErr w:type="spellEnd"/>
            <w:r w:rsidR="00AC4220" w:rsidRPr="000A7FD1">
              <w:rPr>
                <w:rFonts w:cs="Arial"/>
                <w:color w:val="000000"/>
                <w:sz w:val="18"/>
                <w:szCs w:val="18"/>
              </w:rPr>
              <w:t xml:space="preserve"> above for which segregation of duties procedures were performed.</w:t>
            </w:r>
            <w:r w:rsidRPr="000A7FD1">
              <w:rPr>
                <w:rFonts w:cs="Arial"/>
                <w:color w:val="000000"/>
                <w:sz w:val="18"/>
                <w:szCs w:val="18"/>
              </w:rPr>
              <w:t>]</w:t>
            </w:r>
          </w:p>
        </w:tc>
      </w:tr>
      <w:tr w:rsidR="00AC010F" w:rsidRPr="000A7FD1" w14:paraId="0B9A55CF" w14:textId="77777777" w:rsidTr="00D71ED5">
        <w:tblPrEx>
          <w:tblBorders>
            <w:top w:val="none" w:sz="0" w:space="0" w:color="auto"/>
            <w:left w:val="none" w:sz="0" w:space="0" w:color="auto"/>
            <w:bottom w:val="none" w:sz="0" w:space="0" w:color="auto"/>
            <w:right w:val="none" w:sz="0" w:space="0" w:color="auto"/>
          </w:tblBorders>
        </w:tblPrEx>
        <w:trPr>
          <w:trHeight w:val="1384"/>
        </w:trPr>
        <w:tc>
          <w:tcPr>
            <w:tcW w:w="410" w:type="pct"/>
            <w:vMerge/>
            <w:tcBorders>
              <w:top w:val="nil"/>
              <w:left w:val="single" w:sz="12" w:space="0" w:color="auto"/>
              <w:bottom w:val="single" w:sz="4" w:space="0" w:color="000000"/>
              <w:right w:val="single" w:sz="4" w:space="0" w:color="auto"/>
            </w:tcBorders>
            <w:vAlign w:val="center"/>
            <w:hideMark/>
          </w:tcPr>
          <w:p w14:paraId="27BE9D7C" w14:textId="77777777" w:rsidR="00AC4220" w:rsidRPr="000A7FD1" w:rsidRDefault="00AC4220" w:rsidP="00AC4220">
            <w:pPr>
              <w:widowControl/>
              <w:adjustRightInd/>
              <w:spacing w:before="0" w:after="0"/>
              <w:textAlignment w:val="auto"/>
              <w:rPr>
                <w:rFonts w:cs="Arial"/>
                <w:color w:val="000000"/>
                <w:sz w:val="18"/>
                <w:szCs w:val="18"/>
              </w:rPr>
            </w:pPr>
          </w:p>
        </w:tc>
        <w:tc>
          <w:tcPr>
            <w:tcW w:w="535" w:type="pct"/>
            <w:gridSpan w:val="2"/>
            <w:vMerge/>
            <w:tcBorders>
              <w:top w:val="nil"/>
              <w:left w:val="single" w:sz="4" w:space="0" w:color="auto"/>
              <w:bottom w:val="single" w:sz="4" w:space="0" w:color="000000"/>
              <w:right w:val="nil"/>
            </w:tcBorders>
            <w:vAlign w:val="center"/>
            <w:hideMark/>
          </w:tcPr>
          <w:p w14:paraId="56AC6D65" w14:textId="77777777" w:rsidR="00AC4220" w:rsidRPr="000A7FD1" w:rsidRDefault="00AC4220" w:rsidP="00AC4220">
            <w:pPr>
              <w:widowControl/>
              <w:adjustRightInd/>
              <w:spacing w:before="0" w:after="0"/>
              <w:textAlignment w:val="auto"/>
              <w:rPr>
                <w:rFonts w:cs="Arial"/>
                <w:color w:val="000000"/>
                <w:sz w:val="18"/>
                <w:szCs w:val="18"/>
              </w:rPr>
            </w:pPr>
          </w:p>
        </w:tc>
        <w:tc>
          <w:tcPr>
            <w:tcW w:w="1019" w:type="pct"/>
            <w:gridSpan w:val="6"/>
            <w:vMerge/>
            <w:tcBorders>
              <w:top w:val="single" w:sz="8" w:space="0" w:color="auto"/>
              <w:left w:val="single" w:sz="8" w:space="0" w:color="auto"/>
              <w:bottom w:val="single" w:sz="4" w:space="0" w:color="000000"/>
              <w:right w:val="single" w:sz="8" w:space="0" w:color="000000"/>
            </w:tcBorders>
            <w:vAlign w:val="center"/>
            <w:hideMark/>
          </w:tcPr>
          <w:p w14:paraId="2FEDA33E" w14:textId="77777777" w:rsidR="00AC4220" w:rsidRPr="000A7FD1" w:rsidRDefault="00AC4220" w:rsidP="00AC4220">
            <w:pPr>
              <w:widowControl/>
              <w:adjustRightInd/>
              <w:spacing w:before="0" w:after="0"/>
              <w:textAlignment w:val="auto"/>
              <w:rPr>
                <w:rFonts w:cs="Arial"/>
                <w:color w:val="000000"/>
                <w:sz w:val="18"/>
                <w:szCs w:val="18"/>
              </w:rPr>
            </w:pPr>
          </w:p>
        </w:tc>
        <w:tc>
          <w:tcPr>
            <w:tcW w:w="72" w:type="pct"/>
            <w:tcBorders>
              <w:top w:val="single" w:sz="8" w:space="0" w:color="auto"/>
              <w:left w:val="nil"/>
              <w:bottom w:val="single" w:sz="8" w:space="0" w:color="auto"/>
              <w:right w:val="nil"/>
            </w:tcBorders>
            <w:shd w:val="clear" w:color="000000" w:fill="000000"/>
            <w:hideMark/>
          </w:tcPr>
          <w:p w14:paraId="4A9C5C69"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6" w:type="pct"/>
            <w:gridSpan w:val="4"/>
            <w:vMerge/>
            <w:tcBorders>
              <w:top w:val="single" w:sz="8" w:space="0" w:color="auto"/>
              <w:left w:val="single" w:sz="8" w:space="0" w:color="auto"/>
              <w:bottom w:val="single" w:sz="8" w:space="0" w:color="auto"/>
              <w:right w:val="single" w:sz="4" w:space="0" w:color="auto"/>
            </w:tcBorders>
            <w:vAlign w:val="center"/>
            <w:hideMark/>
          </w:tcPr>
          <w:p w14:paraId="6B920EA5" w14:textId="77777777" w:rsidR="00AC4220" w:rsidRPr="000A7FD1" w:rsidRDefault="00AC4220" w:rsidP="00AC4220">
            <w:pPr>
              <w:widowControl/>
              <w:adjustRightInd/>
              <w:spacing w:before="0" w:after="0"/>
              <w:textAlignment w:val="auto"/>
              <w:rPr>
                <w:rFonts w:cs="Arial"/>
                <w:color w:val="000000"/>
                <w:sz w:val="18"/>
                <w:szCs w:val="18"/>
              </w:rPr>
            </w:pPr>
          </w:p>
        </w:tc>
        <w:tc>
          <w:tcPr>
            <w:tcW w:w="243" w:type="pct"/>
            <w:tcBorders>
              <w:top w:val="nil"/>
              <w:left w:val="nil"/>
              <w:bottom w:val="single" w:sz="8" w:space="0" w:color="auto"/>
              <w:right w:val="nil"/>
            </w:tcBorders>
            <w:shd w:val="clear" w:color="000000" w:fill="FFFFFF"/>
            <w:vAlign w:val="center"/>
            <w:hideMark/>
          </w:tcPr>
          <w:p w14:paraId="5D48BC5C"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nil"/>
              <w:left w:val="single" w:sz="4" w:space="0" w:color="auto"/>
              <w:bottom w:val="single" w:sz="8" w:space="0" w:color="auto"/>
              <w:right w:val="single" w:sz="8" w:space="0" w:color="auto"/>
            </w:tcBorders>
            <w:shd w:val="clear" w:color="000000" w:fill="FFFFFF"/>
            <w:noWrap/>
            <w:vAlign w:val="center"/>
            <w:hideMark/>
          </w:tcPr>
          <w:p w14:paraId="4A6F0F54"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nil"/>
              <w:left w:val="nil"/>
              <w:bottom w:val="single" w:sz="8" w:space="0" w:color="auto"/>
              <w:right w:val="single" w:sz="4" w:space="0" w:color="auto"/>
            </w:tcBorders>
            <w:shd w:val="clear" w:color="000000" w:fill="FFFFFF"/>
            <w:noWrap/>
            <w:vAlign w:val="center"/>
            <w:hideMark/>
          </w:tcPr>
          <w:p w14:paraId="21ABF7AA"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nil"/>
              <w:left w:val="nil"/>
              <w:bottom w:val="single" w:sz="8" w:space="0" w:color="auto"/>
              <w:right w:val="single" w:sz="8" w:space="0" w:color="auto"/>
            </w:tcBorders>
            <w:shd w:val="clear" w:color="000000" w:fill="FFFFFF"/>
            <w:noWrap/>
            <w:vAlign w:val="center"/>
            <w:hideMark/>
          </w:tcPr>
          <w:p w14:paraId="5D48E8AF"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nil"/>
              <w:left w:val="nil"/>
              <w:bottom w:val="single" w:sz="8" w:space="0" w:color="auto"/>
              <w:right w:val="nil"/>
            </w:tcBorders>
            <w:shd w:val="clear" w:color="000000" w:fill="FFFFFF"/>
            <w:noWrap/>
            <w:vAlign w:val="center"/>
            <w:hideMark/>
          </w:tcPr>
          <w:p w14:paraId="511356B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nil"/>
              <w:left w:val="single" w:sz="4" w:space="0" w:color="auto"/>
              <w:bottom w:val="single" w:sz="8" w:space="0" w:color="auto"/>
              <w:right w:val="nil"/>
            </w:tcBorders>
            <w:shd w:val="clear" w:color="000000" w:fill="FFFFFF"/>
            <w:noWrap/>
            <w:vAlign w:val="center"/>
            <w:hideMark/>
          </w:tcPr>
          <w:p w14:paraId="6DF1AB5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nil"/>
              <w:left w:val="single" w:sz="4" w:space="0" w:color="auto"/>
              <w:bottom w:val="single" w:sz="8" w:space="0" w:color="auto"/>
              <w:right w:val="single" w:sz="4" w:space="0" w:color="auto"/>
            </w:tcBorders>
            <w:shd w:val="clear" w:color="000000" w:fill="FFFFFF"/>
            <w:vAlign w:val="center"/>
            <w:hideMark/>
          </w:tcPr>
          <w:p w14:paraId="6B4685FC"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vMerge/>
            <w:tcBorders>
              <w:top w:val="nil"/>
              <w:left w:val="single" w:sz="4" w:space="0" w:color="auto"/>
              <w:bottom w:val="single" w:sz="4" w:space="0" w:color="000000"/>
              <w:right w:val="single" w:sz="12" w:space="0" w:color="auto"/>
            </w:tcBorders>
            <w:vAlign w:val="center"/>
            <w:hideMark/>
          </w:tcPr>
          <w:p w14:paraId="0B8F180D" w14:textId="77777777" w:rsidR="00AC4220" w:rsidRPr="000A7FD1" w:rsidRDefault="00AC4220" w:rsidP="00AC4220">
            <w:pPr>
              <w:widowControl/>
              <w:adjustRightInd/>
              <w:spacing w:before="0" w:after="0"/>
              <w:textAlignment w:val="auto"/>
              <w:rPr>
                <w:rFonts w:cs="Arial"/>
                <w:color w:val="000000"/>
                <w:sz w:val="18"/>
                <w:szCs w:val="18"/>
              </w:rPr>
            </w:pPr>
          </w:p>
        </w:tc>
      </w:tr>
      <w:tr w:rsidR="00AC010F" w:rsidRPr="000A7FD1" w14:paraId="7CBE0176" w14:textId="77777777" w:rsidTr="00D71ED5">
        <w:tblPrEx>
          <w:tblBorders>
            <w:top w:val="none" w:sz="0" w:space="0" w:color="auto"/>
            <w:left w:val="none" w:sz="0" w:space="0" w:color="auto"/>
            <w:bottom w:val="none" w:sz="0" w:space="0" w:color="auto"/>
            <w:right w:val="none" w:sz="0" w:space="0" w:color="auto"/>
          </w:tblBorders>
        </w:tblPrEx>
        <w:trPr>
          <w:trHeight w:val="1545"/>
        </w:trPr>
        <w:tc>
          <w:tcPr>
            <w:tcW w:w="410" w:type="pct"/>
            <w:tcBorders>
              <w:top w:val="nil"/>
              <w:left w:val="single" w:sz="12" w:space="0" w:color="auto"/>
              <w:bottom w:val="single" w:sz="8" w:space="0" w:color="auto"/>
              <w:right w:val="single" w:sz="4" w:space="0" w:color="auto"/>
            </w:tcBorders>
            <w:shd w:val="clear" w:color="auto" w:fill="auto"/>
            <w:hideMark/>
          </w:tcPr>
          <w:p w14:paraId="3ADAAAAF" w14:textId="77777777" w:rsidR="00AC4220" w:rsidRPr="000A7FD1" w:rsidRDefault="00AC4220" w:rsidP="00AC4220">
            <w:pPr>
              <w:widowControl/>
              <w:adjustRightInd/>
              <w:spacing w:before="0" w:after="0"/>
              <w:jc w:val="center"/>
              <w:textAlignment w:val="auto"/>
              <w:rPr>
                <w:rFonts w:cs="Arial"/>
                <w:color w:val="000000"/>
                <w:sz w:val="18"/>
                <w:szCs w:val="18"/>
              </w:rPr>
            </w:pPr>
            <w:r w:rsidRPr="000A7FD1">
              <w:rPr>
                <w:rFonts w:cs="Arial"/>
                <w:color w:val="000000"/>
                <w:sz w:val="18"/>
                <w:szCs w:val="18"/>
              </w:rPr>
              <w:t> </w:t>
            </w:r>
          </w:p>
        </w:tc>
        <w:tc>
          <w:tcPr>
            <w:tcW w:w="535" w:type="pct"/>
            <w:gridSpan w:val="2"/>
            <w:tcBorders>
              <w:top w:val="nil"/>
              <w:left w:val="nil"/>
              <w:bottom w:val="single" w:sz="8" w:space="0" w:color="auto"/>
              <w:right w:val="nil"/>
            </w:tcBorders>
            <w:shd w:val="clear" w:color="auto" w:fill="auto"/>
            <w:hideMark/>
          </w:tcPr>
          <w:p w14:paraId="71D2D629" w14:textId="68FBB7EF" w:rsidR="00AC4220" w:rsidRPr="000A7FD1" w:rsidRDefault="00AC4220" w:rsidP="00AC4220">
            <w:pPr>
              <w:widowControl/>
              <w:adjustRightInd/>
              <w:spacing w:before="0" w:after="240"/>
              <w:textAlignment w:val="auto"/>
              <w:rPr>
                <w:rFonts w:cs="Arial"/>
                <w:color w:val="000000"/>
                <w:sz w:val="18"/>
                <w:szCs w:val="18"/>
              </w:rPr>
            </w:pPr>
            <w:r w:rsidRPr="000A7FD1">
              <w:rPr>
                <w:rFonts w:cs="Arial"/>
                <w:color w:val="000000"/>
                <w:sz w:val="18"/>
                <w:szCs w:val="18"/>
                <w:u w:val="single"/>
              </w:rPr>
              <w:t>Laws, regulations, contracts, and grant agreements</w:t>
            </w:r>
            <w:r w:rsidR="00C35877" w:rsidRPr="0099429F">
              <w:rPr>
                <w:rStyle w:val="FootnoteReference"/>
                <w:rFonts w:cs="Arial"/>
                <w:color w:val="000000"/>
                <w:sz w:val="18"/>
                <w:szCs w:val="18"/>
              </w:rPr>
              <w:footnoteReference w:id="25"/>
            </w:r>
            <w:r w:rsidRPr="0099429F">
              <w:rPr>
                <w:rFonts w:ascii="HoloLens MDL2 Assets" w:hAnsi="HoloLens MDL2 Assets" w:cs="Arial"/>
                <w:color w:val="000000"/>
                <w:sz w:val="18"/>
                <w:szCs w:val="18"/>
              </w:rPr>
              <w:t xml:space="preserve"> </w:t>
            </w:r>
          </w:p>
        </w:tc>
        <w:tc>
          <w:tcPr>
            <w:tcW w:w="1019" w:type="pct"/>
            <w:gridSpan w:val="6"/>
            <w:tcBorders>
              <w:top w:val="single" w:sz="4" w:space="0" w:color="auto"/>
              <w:left w:val="single" w:sz="8" w:space="0" w:color="auto"/>
              <w:bottom w:val="single" w:sz="8" w:space="0" w:color="auto"/>
              <w:right w:val="single" w:sz="8" w:space="0" w:color="000000"/>
            </w:tcBorders>
            <w:shd w:val="clear" w:color="auto" w:fill="auto"/>
            <w:hideMark/>
          </w:tcPr>
          <w:p w14:paraId="406ED3E3" w14:textId="615D93FF" w:rsidR="00AC4220" w:rsidRPr="000A7FD1" w:rsidRDefault="00E3718D" w:rsidP="00AC4220">
            <w:pPr>
              <w:widowControl/>
              <w:adjustRightInd/>
              <w:spacing w:before="0" w:after="0"/>
              <w:textAlignment w:val="auto"/>
              <w:rPr>
                <w:rFonts w:cs="Arial"/>
                <w:color w:val="000000"/>
                <w:sz w:val="18"/>
                <w:szCs w:val="18"/>
              </w:rPr>
            </w:pPr>
            <w:r w:rsidRPr="000A7FD1">
              <w:rPr>
                <w:rFonts w:cs="Arial"/>
                <w:color w:val="000000"/>
                <w:sz w:val="18"/>
                <w:szCs w:val="18"/>
              </w:rPr>
              <w:t>[</w:t>
            </w:r>
            <w:r w:rsidR="00AC4220" w:rsidRPr="000A7FD1">
              <w:rPr>
                <w:rFonts w:cs="Arial"/>
                <w:color w:val="000000"/>
                <w:sz w:val="18"/>
                <w:szCs w:val="18"/>
              </w:rPr>
              <w:t>Reference the inherent risk assessments above to which compliance with laws, regulations, contracts, and grant agreements is relevant.</w:t>
            </w:r>
            <w:r w:rsidRPr="000A7FD1">
              <w:rPr>
                <w:rFonts w:cs="Arial"/>
                <w:color w:val="000000"/>
                <w:sz w:val="18"/>
                <w:szCs w:val="18"/>
              </w:rPr>
              <w:t>]</w:t>
            </w:r>
          </w:p>
        </w:tc>
        <w:tc>
          <w:tcPr>
            <w:tcW w:w="72" w:type="pct"/>
            <w:tcBorders>
              <w:top w:val="single" w:sz="8" w:space="0" w:color="auto"/>
              <w:left w:val="nil"/>
              <w:bottom w:val="single" w:sz="8" w:space="0" w:color="auto"/>
              <w:right w:val="nil"/>
            </w:tcBorders>
            <w:shd w:val="clear" w:color="000000" w:fill="000000"/>
            <w:hideMark/>
          </w:tcPr>
          <w:p w14:paraId="76C3820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726" w:type="pct"/>
            <w:gridSpan w:val="4"/>
            <w:tcBorders>
              <w:top w:val="single" w:sz="8" w:space="0" w:color="auto"/>
              <w:left w:val="single" w:sz="8" w:space="0" w:color="auto"/>
              <w:bottom w:val="single" w:sz="8" w:space="0" w:color="auto"/>
              <w:right w:val="single" w:sz="4" w:space="0" w:color="auto"/>
            </w:tcBorders>
            <w:shd w:val="clear" w:color="000000" w:fill="FFFFFF"/>
            <w:vAlign w:val="center"/>
            <w:hideMark/>
          </w:tcPr>
          <w:p w14:paraId="455F58B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43" w:type="pct"/>
            <w:tcBorders>
              <w:top w:val="single" w:sz="8" w:space="0" w:color="auto"/>
              <w:left w:val="nil"/>
              <w:bottom w:val="single" w:sz="8" w:space="0" w:color="auto"/>
              <w:right w:val="nil"/>
            </w:tcBorders>
            <w:shd w:val="clear" w:color="000000" w:fill="FFFFFF"/>
            <w:vAlign w:val="center"/>
            <w:hideMark/>
          </w:tcPr>
          <w:p w14:paraId="75DA9A1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93" w:type="pct"/>
            <w:gridSpan w:val="2"/>
            <w:tcBorders>
              <w:top w:val="single" w:sz="8" w:space="0" w:color="auto"/>
              <w:left w:val="single" w:sz="4" w:space="0" w:color="auto"/>
              <w:bottom w:val="single" w:sz="8" w:space="0" w:color="auto"/>
              <w:right w:val="single" w:sz="8" w:space="0" w:color="auto"/>
            </w:tcBorders>
            <w:shd w:val="clear" w:color="000000" w:fill="FFFFFF"/>
            <w:noWrap/>
            <w:vAlign w:val="center"/>
            <w:hideMark/>
          </w:tcPr>
          <w:p w14:paraId="5E55BCF1"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0" w:type="pct"/>
            <w:tcBorders>
              <w:top w:val="single" w:sz="8" w:space="0" w:color="auto"/>
              <w:left w:val="nil"/>
              <w:bottom w:val="single" w:sz="8" w:space="0" w:color="auto"/>
              <w:right w:val="single" w:sz="4" w:space="0" w:color="auto"/>
            </w:tcBorders>
            <w:shd w:val="clear" w:color="000000" w:fill="FFFFFF"/>
            <w:noWrap/>
            <w:vAlign w:val="center"/>
            <w:hideMark/>
          </w:tcPr>
          <w:p w14:paraId="1A3E5513"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170" w:type="pct"/>
            <w:tcBorders>
              <w:top w:val="single" w:sz="8" w:space="0" w:color="auto"/>
              <w:left w:val="nil"/>
              <w:bottom w:val="single" w:sz="8" w:space="0" w:color="auto"/>
              <w:right w:val="single" w:sz="8" w:space="0" w:color="auto"/>
            </w:tcBorders>
            <w:shd w:val="clear" w:color="000000" w:fill="FFFFFF"/>
            <w:noWrap/>
            <w:vAlign w:val="center"/>
            <w:hideMark/>
          </w:tcPr>
          <w:p w14:paraId="6452867A"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15" w:type="pct"/>
            <w:gridSpan w:val="3"/>
            <w:tcBorders>
              <w:top w:val="single" w:sz="8" w:space="0" w:color="auto"/>
              <w:left w:val="nil"/>
              <w:bottom w:val="single" w:sz="8" w:space="0" w:color="auto"/>
              <w:right w:val="nil"/>
            </w:tcBorders>
            <w:shd w:val="clear" w:color="000000" w:fill="FFFFFF"/>
            <w:noWrap/>
            <w:vAlign w:val="center"/>
            <w:hideMark/>
          </w:tcPr>
          <w:p w14:paraId="4CFDE896"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7" w:type="pct"/>
            <w:tcBorders>
              <w:top w:val="single" w:sz="8" w:space="0" w:color="auto"/>
              <w:left w:val="single" w:sz="4" w:space="0" w:color="auto"/>
              <w:bottom w:val="single" w:sz="8" w:space="0" w:color="auto"/>
              <w:right w:val="nil"/>
            </w:tcBorders>
            <w:shd w:val="clear" w:color="000000" w:fill="FFFFFF"/>
            <w:noWrap/>
            <w:vAlign w:val="center"/>
            <w:hideMark/>
          </w:tcPr>
          <w:p w14:paraId="43D09C68"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266" w:type="pct"/>
            <w:tcBorders>
              <w:top w:val="single" w:sz="8" w:space="0" w:color="auto"/>
              <w:left w:val="single" w:sz="4" w:space="0" w:color="auto"/>
              <w:bottom w:val="single" w:sz="8" w:space="0" w:color="auto"/>
              <w:right w:val="single" w:sz="4" w:space="0" w:color="auto"/>
            </w:tcBorders>
            <w:shd w:val="clear" w:color="000000" w:fill="FFFFFF"/>
            <w:noWrap/>
            <w:vAlign w:val="center"/>
            <w:hideMark/>
          </w:tcPr>
          <w:p w14:paraId="350D1A6C" w14:textId="77777777" w:rsidR="00AC4220" w:rsidRPr="000A7FD1" w:rsidRDefault="00AC4220" w:rsidP="00AC4220">
            <w:pPr>
              <w:widowControl/>
              <w:adjustRightInd/>
              <w:spacing w:before="0" w:after="0"/>
              <w:textAlignment w:val="auto"/>
              <w:rPr>
                <w:rFonts w:cs="Arial"/>
                <w:color w:val="000000"/>
                <w:sz w:val="18"/>
                <w:szCs w:val="18"/>
              </w:rPr>
            </w:pPr>
            <w:r w:rsidRPr="000A7FD1">
              <w:rPr>
                <w:rFonts w:cs="Arial"/>
                <w:color w:val="000000"/>
                <w:sz w:val="18"/>
                <w:szCs w:val="18"/>
              </w:rPr>
              <w:t> </w:t>
            </w:r>
          </w:p>
        </w:tc>
        <w:tc>
          <w:tcPr>
            <w:tcW w:w="344" w:type="pct"/>
            <w:gridSpan w:val="3"/>
            <w:tcBorders>
              <w:top w:val="nil"/>
              <w:left w:val="nil"/>
              <w:bottom w:val="single" w:sz="8" w:space="0" w:color="auto"/>
              <w:right w:val="single" w:sz="12" w:space="0" w:color="auto"/>
            </w:tcBorders>
            <w:shd w:val="clear" w:color="auto" w:fill="auto"/>
            <w:hideMark/>
          </w:tcPr>
          <w:p w14:paraId="52BB7681" w14:textId="2337CB5C" w:rsidR="00AC4220" w:rsidRPr="000A7FD1" w:rsidRDefault="00E3718D" w:rsidP="00AC4220">
            <w:pPr>
              <w:widowControl/>
              <w:adjustRightInd/>
              <w:spacing w:before="0" w:after="0"/>
              <w:textAlignment w:val="auto"/>
              <w:rPr>
                <w:rFonts w:cs="Arial"/>
                <w:color w:val="000000"/>
                <w:sz w:val="18"/>
                <w:szCs w:val="18"/>
              </w:rPr>
            </w:pPr>
            <w:r w:rsidRPr="000A7FD1">
              <w:rPr>
                <w:rFonts w:cs="Arial"/>
                <w:color w:val="000000"/>
                <w:sz w:val="18"/>
                <w:szCs w:val="18"/>
              </w:rPr>
              <w:t>[</w:t>
            </w:r>
            <w:r w:rsidR="00AC4220" w:rsidRPr="000A7FD1">
              <w:rPr>
                <w:rFonts w:cs="Arial"/>
                <w:color w:val="000000"/>
                <w:sz w:val="18"/>
                <w:szCs w:val="18"/>
              </w:rPr>
              <w:t>Reference the control risk assess</w:t>
            </w:r>
            <w:r w:rsidR="002A7208" w:rsidRPr="000A7FD1">
              <w:rPr>
                <w:rFonts w:cs="Arial"/>
                <w:color w:val="000000"/>
                <w:sz w:val="18"/>
                <w:szCs w:val="18"/>
              </w:rPr>
              <w:t>-</w:t>
            </w:r>
            <w:proofErr w:type="spellStart"/>
            <w:r w:rsidR="00AC4220" w:rsidRPr="000A7FD1">
              <w:rPr>
                <w:rFonts w:cs="Arial"/>
                <w:color w:val="000000"/>
                <w:sz w:val="18"/>
                <w:szCs w:val="18"/>
              </w:rPr>
              <w:t>ments</w:t>
            </w:r>
            <w:proofErr w:type="spellEnd"/>
            <w:r w:rsidR="00AC4220" w:rsidRPr="000A7FD1">
              <w:rPr>
                <w:rFonts w:cs="Arial"/>
                <w:color w:val="000000"/>
                <w:sz w:val="18"/>
                <w:szCs w:val="18"/>
              </w:rPr>
              <w:t xml:space="preserve"> above to which compliance is relevant.</w:t>
            </w:r>
            <w:r w:rsidRPr="000A7FD1">
              <w:rPr>
                <w:rFonts w:cs="Arial"/>
                <w:color w:val="000000"/>
                <w:sz w:val="18"/>
                <w:szCs w:val="18"/>
              </w:rPr>
              <w:t>]</w:t>
            </w:r>
          </w:p>
        </w:tc>
      </w:tr>
    </w:tbl>
    <w:p w14:paraId="1F179775" w14:textId="74A680A1" w:rsidR="001E3E8C" w:rsidRPr="000A7FD1" w:rsidRDefault="001E3E8C" w:rsidP="00933216">
      <w:pPr>
        <w:sectPr w:rsidR="001E3E8C" w:rsidRPr="000A7FD1" w:rsidSect="00666BFE">
          <w:headerReference w:type="default" r:id="rId69"/>
          <w:footerReference w:type="default" r:id="rId70"/>
          <w:endnotePr>
            <w:numFmt w:val="decimal"/>
          </w:endnotePr>
          <w:type w:val="continuous"/>
          <w:pgSz w:w="20160" w:h="12240" w:orient="landscape" w:code="5"/>
          <w:pgMar w:top="1080" w:right="1440" w:bottom="1080" w:left="1080" w:header="720" w:footer="720" w:gutter="360"/>
          <w:cols w:space="720"/>
          <w:noEndnote/>
          <w:docGrid w:linePitch="326"/>
        </w:sectPr>
      </w:pPr>
    </w:p>
    <w:p w14:paraId="671A2151" w14:textId="77777777" w:rsidR="00856A2C" w:rsidRPr="000A7FD1" w:rsidRDefault="00C842FE" w:rsidP="00713125">
      <w:pPr>
        <w:pStyle w:val="Heading2FAM"/>
      </w:pPr>
      <w:r w:rsidRPr="000A7FD1">
        <w:lastRenderedPageBreak/>
        <w:t>395 H</w:t>
      </w:r>
      <w:r w:rsidR="00856A2C" w:rsidRPr="000A7FD1">
        <w:t xml:space="preserve"> </w:t>
      </w:r>
      <w:r w:rsidR="004C25AA" w:rsidRPr="000A7FD1">
        <w:t>–</w:t>
      </w:r>
      <w:r w:rsidR="00856A2C" w:rsidRPr="000A7FD1">
        <w:t xml:space="preserve"> Line Item Risk Analysis Form</w:t>
      </w:r>
    </w:p>
    <w:p w14:paraId="588CFAB2" w14:textId="3C87C789" w:rsidR="00AC559B" w:rsidRPr="000A7FD1" w:rsidRDefault="004668FA" w:rsidP="004668FA">
      <w:pPr>
        <w:pStyle w:val="FAM-Subsection"/>
        <w:numPr>
          <w:ilvl w:val="0"/>
          <w:numId w:val="24"/>
        </w:numPr>
      </w:pPr>
      <w:r w:rsidRPr="000A7FD1">
        <w:t>T</w:t>
      </w:r>
      <w:r w:rsidR="00856A2C" w:rsidRPr="000A7FD1">
        <w:t xml:space="preserve">he auditor should use the LIRA form or equivalent to </w:t>
      </w:r>
      <w:r w:rsidRPr="000A7FD1">
        <w:t xml:space="preserve">document </w:t>
      </w:r>
      <w:r w:rsidR="00765029" w:rsidRPr="000A7FD1">
        <w:t xml:space="preserve">the </w:t>
      </w:r>
      <w:r w:rsidR="00296DCB" w:rsidRPr="000A7FD1">
        <w:t xml:space="preserve">auditor’s </w:t>
      </w:r>
      <w:r w:rsidR="00765029" w:rsidRPr="000A7FD1">
        <w:t xml:space="preserve">identification and </w:t>
      </w:r>
      <w:r w:rsidRPr="000A7FD1">
        <w:t xml:space="preserve">assessment </w:t>
      </w:r>
      <w:r w:rsidR="00765029" w:rsidRPr="000A7FD1">
        <w:t xml:space="preserve">of risks of material misstatement </w:t>
      </w:r>
      <w:r w:rsidRPr="000A7FD1">
        <w:t>at the assertion level</w:t>
      </w:r>
      <w:r w:rsidR="00765029" w:rsidRPr="000A7FD1">
        <w:t xml:space="preserve"> for </w:t>
      </w:r>
      <w:r w:rsidR="009B0A51" w:rsidRPr="000A7FD1">
        <w:t xml:space="preserve">material </w:t>
      </w:r>
      <w:r w:rsidR="00765029" w:rsidRPr="000A7FD1">
        <w:t>line item</w:t>
      </w:r>
      <w:r w:rsidR="00CE4CEB" w:rsidRPr="000A7FD1">
        <w:t>s</w:t>
      </w:r>
      <w:r w:rsidR="00765029" w:rsidRPr="000A7FD1">
        <w:t>, account</w:t>
      </w:r>
      <w:r w:rsidR="00CE4CEB" w:rsidRPr="000A7FD1">
        <w:t>s</w:t>
      </w:r>
      <w:r w:rsidR="00765029" w:rsidRPr="000A7FD1">
        <w:t xml:space="preserve">, </w:t>
      </w:r>
      <w:r w:rsidR="00AC2FC2" w:rsidRPr="000A7FD1">
        <w:t>n</w:t>
      </w:r>
      <w:r w:rsidR="00765029" w:rsidRPr="000A7FD1">
        <w:t>ote disclosure</w:t>
      </w:r>
      <w:r w:rsidR="00CE4CEB" w:rsidRPr="000A7FD1">
        <w:t>s</w:t>
      </w:r>
      <w:r w:rsidR="00AC2FC2" w:rsidRPr="000A7FD1">
        <w:t xml:space="preserve">, and </w:t>
      </w:r>
      <w:r w:rsidR="00063776" w:rsidRPr="000A7FD1">
        <w:t>the related</w:t>
      </w:r>
      <w:r w:rsidR="001258BC" w:rsidRPr="000A7FD1">
        <w:t xml:space="preserve"> </w:t>
      </w:r>
      <w:r w:rsidR="00AC2FC2" w:rsidRPr="000A7FD1">
        <w:t>classes of transactions</w:t>
      </w:r>
      <w:r w:rsidR="00DA7A3C" w:rsidRPr="000A7FD1">
        <w:t xml:space="preserve"> (see FAM 235</w:t>
      </w:r>
      <w:r w:rsidR="00536FFA" w:rsidRPr="000A7FD1">
        <w:t xml:space="preserve"> </w:t>
      </w:r>
      <w:r w:rsidR="00DA7A3C" w:rsidRPr="000A7FD1">
        <w:t>and 26</w:t>
      </w:r>
      <w:r w:rsidR="009B0A51" w:rsidRPr="000A7FD1">
        <w:t>5</w:t>
      </w:r>
      <w:r w:rsidR="00DA7A3C" w:rsidRPr="000A7FD1">
        <w:t>)</w:t>
      </w:r>
      <w:r w:rsidRPr="000A7FD1">
        <w:t xml:space="preserve">. </w:t>
      </w:r>
      <w:r w:rsidR="00765029" w:rsidRPr="000A7FD1">
        <w:t>For each identified risk of material misstatement at the assertion level</w:t>
      </w:r>
      <w:r w:rsidR="00580AF3" w:rsidRPr="000A7FD1">
        <w:t xml:space="preserve"> (identified risk)</w:t>
      </w:r>
      <w:r w:rsidR="00765029" w:rsidRPr="000A7FD1">
        <w:t>, t</w:t>
      </w:r>
      <w:r w:rsidRPr="000A7FD1">
        <w:t xml:space="preserve">he LIRA form </w:t>
      </w:r>
      <w:r w:rsidR="00A70C43" w:rsidRPr="000A7FD1">
        <w:t xml:space="preserve">or equivalent </w:t>
      </w:r>
      <w:r w:rsidR="00923D21" w:rsidRPr="000A7FD1">
        <w:t>should document</w:t>
      </w:r>
      <w:r w:rsidRPr="000A7FD1">
        <w:rPr>
          <w:bCs/>
        </w:rPr>
        <w:t xml:space="preserve"> the</w:t>
      </w:r>
      <w:r w:rsidR="00D35991" w:rsidRPr="000A7FD1">
        <w:rPr>
          <w:bCs/>
        </w:rPr>
        <w:t xml:space="preserve"> </w:t>
      </w:r>
      <w:r w:rsidR="00923D21" w:rsidRPr="000A7FD1">
        <w:rPr>
          <w:bCs/>
        </w:rPr>
        <w:t xml:space="preserve">assessed level of inherent risk. For each identified risk for which inherent risk is </w:t>
      </w:r>
      <w:r w:rsidR="009805BD" w:rsidRPr="000A7FD1">
        <w:rPr>
          <w:bCs/>
        </w:rPr>
        <w:t>more</w:t>
      </w:r>
      <w:r w:rsidR="00923D21" w:rsidRPr="000A7FD1">
        <w:rPr>
          <w:bCs/>
        </w:rPr>
        <w:t xml:space="preserve"> than remote, the LIRA form </w:t>
      </w:r>
      <w:r w:rsidR="00A70C43" w:rsidRPr="000A7FD1">
        <w:rPr>
          <w:bCs/>
        </w:rPr>
        <w:t xml:space="preserve">or equivalent </w:t>
      </w:r>
      <w:r w:rsidR="00923D21" w:rsidRPr="000A7FD1">
        <w:rPr>
          <w:bCs/>
        </w:rPr>
        <w:t>should include the following information:</w:t>
      </w:r>
    </w:p>
    <w:p w14:paraId="0C41192B" w14:textId="5340B58C" w:rsidR="00660D45" w:rsidRPr="000A7FD1" w:rsidRDefault="00660D45" w:rsidP="00AC559B">
      <w:pPr>
        <w:pStyle w:val="FAM-Subsection"/>
        <w:numPr>
          <w:ilvl w:val="0"/>
          <w:numId w:val="15"/>
        </w:numPr>
      </w:pPr>
      <w:r w:rsidRPr="000A7FD1">
        <w:rPr>
          <w:bCs/>
        </w:rPr>
        <w:t xml:space="preserve">the </w:t>
      </w:r>
      <w:r w:rsidR="00522E7E" w:rsidRPr="000A7FD1">
        <w:rPr>
          <w:bCs/>
        </w:rPr>
        <w:t>determination of</w:t>
      </w:r>
      <w:r w:rsidRPr="000A7FD1">
        <w:rPr>
          <w:bCs/>
        </w:rPr>
        <w:t xml:space="preserve"> </w:t>
      </w:r>
      <w:r w:rsidRPr="000A7FD1">
        <w:t>whether the risk is a significant risk</w:t>
      </w:r>
      <w:r w:rsidR="00522E7E" w:rsidRPr="000A7FD1">
        <w:t>;</w:t>
      </w:r>
    </w:p>
    <w:p w14:paraId="26E39557" w14:textId="405AF921" w:rsidR="00923D21" w:rsidRPr="000A7FD1" w:rsidRDefault="00923D21" w:rsidP="00AC559B">
      <w:pPr>
        <w:pStyle w:val="FAM-Subsection"/>
        <w:numPr>
          <w:ilvl w:val="0"/>
          <w:numId w:val="15"/>
        </w:numPr>
      </w:pPr>
      <w:r w:rsidRPr="000A7FD1">
        <w:rPr>
          <w:bCs/>
        </w:rPr>
        <w:t xml:space="preserve">the assessed level of control risk; </w:t>
      </w:r>
    </w:p>
    <w:p w14:paraId="6E1A8056" w14:textId="3070FAEE" w:rsidR="00AC559B" w:rsidRPr="000A7FD1" w:rsidRDefault="00923D21" w:rsidP="00AC559B">
      <w:pPr>
        <w:pStyle w:val="FAM-Subsection"/>
        <w:numPr>
          <w:ilvl w:val="0"/>
          <w:numId w:val="15"/>
        </w:numPr>
      </w:pPr>
      <w:r w:rsidRPr="000A7FD1">
        <w:rPr>
          <w:bCs/>
        </w:rPr>
        <w:t>the assessed level of risk of material misstatement (i.e., combined inherent risk and control risk);</w:t>
      </w:r>
      <w:r w:rsidR="00522E7E" w:rsidRPr="000A7FD1">
        <w:rPr>
          <w:bCs/>
        </w:rPr>
        <w:t xml:space="preserve"> and</w:t>
      </w:r>
    </w:p>
    <w:p w14:paraId="5EB7F0CD" w14:textId="29B74F8E" w:rsidR="00AC559B" w:rsidRPr="000A7FD1" w:rsidRDefault="00D35991" w:rsidP="00AC559B">
      <w:pPr>
        <w:pStyle w:val="FAM-Subsection"/>
        <w:numPr>
          <w:ilvl w:val="0"/>
          <w:numId w:val="15"/>
        </w:numPr>
      </w:pPr>
      <w:r w:rsidRPr="000A7FD1">
        <w:rPr>
          <w:bCs/>
        </w:rPr>
        <w:t xml:space="preserve">the </w:t>
      </w:r>
      <w:r w:rsidR="00AC559B" w:rsidRPr="000A7FD1">
        <w:rPr>
          <w:bCs/>
        </w:rPr>
        <w:t xml:space="preserve">planned nature, extent, and timing of substantive audit procedures </w:t>
      </w:r>
      <w:r w:rsidR="00AC559B" w:rsidRPr="000A7FD1">
        <w:t>to address the risk</w:t>
      </w:r>
      <w:r w:rsidR="00AC559B" w:rsidRPr="000A7FD1">
        <w:rPr>
          <w:bCs/>
        </w:rPr>
        <w:t>.</w:t>
      </w:r>
    </w:p>
    <w:p w14:paraId="433E005B" w14:textId="19CAD2A5" w:rsidR="00217AAA" w:rsidRPr="000A7FD1" w:rsidRDefault="00217AAA" w:rsidP="00CC7A2D">
      <w:pPr>
        <w:pStyle w:val="FAM-Subsection"/>
        <w:numPr>
          <w:ilvl w:val="0"/>
          <w:numId w:val="24"/>
        </w:numPr>
      </w:pPr>
      <w:r w:rsidRPr="000A7FD1">
        <w:t>For purposes of preparing the LIRA</w:t>
      </w:r>
      <w:r w:rsidR="00FE2CD8" w:rsidRPr="000A7FD1">
        <w:t xml:space="preserve"> form</w:t>
      </w:r>
      <w:r w:rsidRPr="000A7FD1">
        <w:t xml:space="preserve">, the auditor may group related line items, accounts, </w:t>
      </w:r>
      <w:r w:rsidR="001258BC" w:rsidRPr="000A7FD1">
        <w:t xml:space="preserve">and </w:t>
      </w:r>
      <w:r w:rsidRPr="000A7FD1">
        <w:t xml:space="preserve">note disclosures, as appropriate. Typically, the auditor will use one LIRA form to document identified risks for a material line item and all the material accounts, note disclosures, and classes of transactions related to it. </w:t>
      </w:r>
      <w:r w:rsidRPr="000A7FD1" w:rsidDel="00E844FA">
        <w:t xml:space="preserve">If a class of transactions, such as journal vouchers, or a note disclosure, such as fiduciary activities, is not directly related to </w:t>
      </w:r>
      <w:r w:rsidR="00C24B9A" w:rsidRPr="000A7FD1" w:rsidDel="00E844FA">
        <w:t>a line item</w:t>
      </w:r>
      <w:r w:rsidRPr="000A7FD1" w:rsidDel="00E844FA">
        <w:t xml:space="preserve"> (e.g., it affects many line items), the auditor may prepare a LIRA form for that class of transactions or note disclosure only.</w:t>
      </w:r>
    </w:p>
    <w:p w14:paraId="0A81FBDD" w14:textId="5440565D" w:rsidR="00856A2C" w:rsidRPr="000A7FD1" w:rsidRDefault="00856A2C" w:rsidP="00CC7A2D">
      <w:pPr>
        <w:pStyle w:val="FAM-Subsection"/>
        <w:numPr>
          <w:ilvl w:val="0"/>
          <w:numId w:val="24"/>
        </w:numPr>
      </w:pPr>
      <w:r w:rsidRPr="000A7FD1">
        <w:t xml:space="preserve">The auditor may </w:t>
      </w:r>
      <w:r w:rsidR="00580AF3" w:rsidRPr="000A7FD1">
        <w:t>prepare</w:t>
      </w:r>
      <w:r w:rsidRPr="000A7FD1">
        <w:t xml:space="preserve"> the </w:t>
      </w:r>
      <w:r w:rsidR="00F95112" w:rsidRPr="000A7FD1">
        <w:t xml:space="preserve">LIRA </w:t>
      </w:r>
      <w:r w:rsidRPr="000A7FD1">
        <w:t>form</w:t>
      </w:r>
      <w:r w:rsidR="00F95112" w:rsidRPr="000A7FD1">
        <w:t xml:space="preserve"> </w:t>
      </w:r>
      <w:r w:rsidRPr="000A7FD1">
        <w:t>as follows:</w:t>
      </w:r>
    </w:p>
    <w:p w14:paraId="4B31D0FC" w14:textId="37B697E4" w:rsidR="006715CB" w:rsidRPr="000A7FD1" w:rsidRDefault="00856A2C" w:rsidP="00435A0E">
      <w:pPr>
        <w:pStyle w:val="FAM-Num-1"/>
        <w:numPr>
          <w:ilvl w:val="0"/>
          <w:numId w:val="16"/>
        </w:numPr>
        <w:tabs>
          <w:tab w:val="clear" w:pos="1800"/>
        </w:tabs>
        <w:rPr>
          <w:rFonts w:ascii="Arial" w:hAnsi="Arial" w:cs="Arial"/>
          <w:sz w:val="22"/>
        </w:rPr>
      </w:pPr>
      <w:r w:rsidRPr="000A7FD1">
        <w:rPr>
          <w:rFonts w:ascii="Arial" w:hAnsi="Arial" w:cs="Arial"/>
          <w:sz w:val="22"/>
        </w:rPr>
        <w:t xml:space="preserve">In </w:t>
      </w:r>
      <w:r w:rsidR="00E74218" w:rsidRPr="000A7FD1">
        <w:rPr>
          <w:rFonts w:ascii="Arial" w:hAnsi="Arial" w:cs="Arial"/>
          <w:sz w:val="22"/>
        </w:rPr>
        <w:t>the header</w:t>
      </w:r>
      <w:r w:rsidR="00F624AB" w:rsidRPr="000A7FD1">
        <w:rPr>
          <w:rFonts w:ascii="Arial" w:hAnsi="Arial" w:cs="Arial"/>
          <w:sz w:val="22"/>
        </w:rPr>
        <w:t>,</w:t>
      </w:r>
      <w:r w:rsidR="009E644A" w:rsidRPr="000A7FD1">
        <w:rPr>
          <w:rFonts w:ascii="Arial" w:hAnsi="Arial" w:cs="Arial"/>
          <w:sz w:val="22"/>
        </w:rPr>
        <w:t xml:space="preserve"> identify the </w:t>
      </w:r>
      <w:r w:rsidR="00D05D19" w:rsidRPr="000A7FD1">
        <w:rPr>
          <w:rFonts w:ascii="Arial" w:hAnsi="Arial" w:cs="Arial"/>
          <w:sz w:val="22"/>
        </w:rPr>
        <w:t xml:space="preserve">material </w:t>
      </w:r>
      <w:r w:rsidR="009E644A" w:rsidRPr="000A7FD1">
        <w:rPr>
          <w:rFonts w:ascii="Arial" w:hAnsi="Arial" w:cs="Arial"/>
          <w:sz w:val="22"/>
        </w:rPr>
        <w:t xml:space="preserve">line item and </w:t>
      </w:r>
      <w:r w:rsidR="007601A2" w:rsidRPr="000A7FD1">
        <w:rPr>
          <w:rFonts w:ascii="Arial" w:hAnsi="Arial" w:cs="Arial"/>
          <w:sz w:val="22"/>
        </w:rPr>
        <w:t xml:space="preserve">enter the </w:t>
      </w:r>
      <w:r w:rsidR="003D687C" w:rsidRPr="000A7FD1">
        <w:rPr>
          <w:rFonts w:ascii="Arial" w:hAnsi="Arial" w:cs="Arial"/>
          <w:sz w:val="22"/>
        </w:rPr>
        <w:t>line item</w:t>
      </w:r>
      <w:r w:rsidR="0067527C" w:rsidRPr="000A7FD1">
        <w:rPr>
          <w:rFonts w:ascii="Arial" w:hAnsi="Arial" w:cs="Arial"/>
          <w:sz w:val="22"/>
        </w:rPr>
        <w:t xml:space="preserve"> </w:t>
      </w:r>
      <w:r w:rsidR="003A300C" w:rsidRPr="000A7FD1">
        <w:rPr>
          <w:rFonts w:ascii="Arial" w:hAnsi="Arial" w:cs="Arial"/>
          <w:sz w:val="22"/>
        </w:rPr>
        <w:t>total</w:t>
      </w:r>
      <w:r w:rsidR="005316EC" w:rsidRPr="000A7FD1">
        <w:rPr>
          <w:rFonts w:ascii="Arial" w:hAnsi="Arial" w:cs="Arial"/>
          <w:sz w:val="22"/>
        </w:rPr>
        <w:t xml:space="preserve">. </w:t>
      </w:r>
      <w:r w:rsidR="00A70C43" w:rsidRPr="000A7FD1">
        <w:rPr>
          <w:rFonts w:ascii="Arial" w:hAnsi="Arial" w:cs="Arial"/>
          <w:sz w:val="22"/>
        </w:rPr>
        <w:t>Also</w:t>
      </w:r>
      <w:r w:rsidR="005316EC" w:rsidRPr="000A7FD1">
        <w:rPr>
          <w:rFonts w:ascii="Arial" w:hAnsi="Arial" w:cs="Arial"/>
          <w:sz w:val="22"/>
        </w:rPr>
        <w:t xml:space="preserve"> </w:t>
      </w:r>
      <w:r w:rsidRPr="000A7FD1">
        <w:rPr>
          <w:rFonts w:ascii="Arial" w:hAnsi="Arial" w:cs="Arial"/>
          <w:sz w:val="22"/>
        </w:rPr>
        <w:t xml:space="preserve">list </w:t>
      </w:r>
      <w:r w:rsidR="00BD7F88" w:rsidRPr="000A7FD1">
        <w:rPr>
          <w:rFonts w:ascii="Arial" w:hAnsi="Arial" w:cs="Arial"/>
          <w:sz w:val="22"/>
        </w:rPr>
        <w:t>the</w:t>
      </w:r>
      <w:r w:rsidRPr="000A7FD1">
        <w:rPr>
          <w:rFonts w:ascii="Arial" w:hAnsi="Arial" w:cs="Arial"/>
          <w:sz w:val="22"/>
        </w:rPr>
        <w:t xml:space="preserve"> account</w:t>
      </w:r>
      <w:r w:rsidR="00AB6BDE" w:rsidRPr="000A7FD1">
        <w:rPr>
          <w:rFonts w:ascii="Arial" w:hAnsi="Arial" w:cs="Arial"/>
          <w:sz w:val="22"/>
        </w:rPr>
        <w:t>s</w:t>
      </w:r>
      <w:r w:rsidRPr="000A7FD1">
        <w:rPr>
          <w:rFonts w:ascii="Arial" w:hAnsi="Arial" w:cs="Arial"/>
          <w:sz w:val="22"/>
        </w:rPr>
        <w:t xml:space="preserve"> and</w:t>
      </w:r>
      <w:r w:rsidR="00BD7F88" w:rsidRPr="000A7FD1">
        <w:rPr>
          <w:rFonts w:ascii="Arial" w:hAnsi="Arial" w:cs="Arial"/>
          <w:sz w:val="22"/>
        </w:rPr>
        <w:t xml:space="preserve"> </w:t>
      </w:r>
      <w:r w:rsidRPr="000A7FD1">
        <w:rPr>
          <w:rFonts w:ascii="Arial" w:hAnsi="Arial" w:cs="Arial"/>
          <w:sz w:val="22"/>
        </w:rPr>
        <w:t>balance</w:t>
      </w:r>
      <w:r w:rsidR="00BD7F88" w:rsidRPr="000A7FD1">
        <w:rPr>
          <w:rFonts w:ascii="Arial" w:hAnsi="Arial" w:cs="Arial"/>
          <w:sz w:val="22"/>
        </w:rPr>
        <w:t>s</w:t>
      </w:r>
      <w:r w:rsidR="00C47F96" w:rsidRPr="000A7FD1">
        <w:rPr>
          <w:rFonts w:ascii="Arial" w:hAnsi="Arial" w:cs="Arial"/>
          <w:sz w:val="22"/>
        </w:rPr>
        <w:t xml:space="preserve"> that make up th</w:t>
      </w:r>
      <w:r w:rsidR="00D15CEB" w:rsidRPr="000A7FD1">
        <w:rPr>
          <w:rFonts w:ascii="Arial" w:hAnsi="Arial" w:cs="Arial"/>
          <w:sz w:val="22"/>
        </w:rPr>
        <w:t>e</w:t>
      </w:r>
      <w:r w:rsidR="00C47F96" w:rsidRPr="000A7FD1">
        <w:rPr>
          <w:rFonts w:ascii="Arial" w:hAnsi="Arial" w:cs="Arial"/>
          <w:sz w:val="22"/>
        </w:rPr>
        <w:t xml:space="preserve"> line item</w:t>
      </w:r>
      <w:r w:rsidR="00071347" w:rsidRPr="000A7FD1">
        <w:rPr>
          <w:rFonts w:ascii="Arial" w:hAnsi="Arial" w:cs="Arial"/>
          <w:sz w:val="22"/>
        </w:rPr>
        <w:t xml:space="preserve"> and the related note disclosures</w:t>
      </w:r>
      <w:r w:rsidRPr="000A7FD1">
        <w:rPr>
          <w:rFonts w:ascii="Arial" w:hAnsi="Arial" w:cs="Arial"/>
          <w:sz w:val="22"/>
        </w:rPr>
        <w:t>.</w:t>
      </w:r>
      <w:r w:rsidR="000A3D51" w:rsidRPr="000A7FD1">
        <w:rPr>
          <w:rFonts w:ascii="Arial" w:hAnsi="Arial" w:cs="Arial"/>
          <w:sz w:val="22"/>
        </w:rPr>
        <w:t xml:space="preserve"> </w:t>
      </w:r>
      <w:r w:rsidR="00D05D19" w:rsidRPr="000A7FD1">
        <w:rPr>
          <w:rFonts w:ascii="Arial" w:hAnsi="Arial" w:cs="Arial"/>
          <w:sz w:val="22"/>
        </w:rPr>
        <w:t xml:space="preserve">Immaterial </w:t>
      </w:r>
      <w:r w:rsidRPr="000A7FD1">
        <w:rPr>
          <w:rFonts w:ascii="Arial" w:hAnsi="Arial" w:cs="Arial"/>
          <w:sz w:val="22"/>
        </w:rPr>
        <w:t xml:space="preserve">accounts may be listed following </w:t>
      </w:r>
      <w:r w:rsidR="00D05D19" w:rsidRPr="000A7FD1">
        <w:rPr>
          <w:rFonts w:ascii="Arial" w:hAnsi="Arial" w:cs="Arial"/>
          <w:sz w:val="22"/>
        </w:rPr>
        <w:t xml:space="preserve">material </w:t>
      </w:r>
      <w:r w:rsidRPr="000A7FD1">
        <w:rPr>
          <w:rFonts w:ascii="Arial" w:hAnsi="Arial" w:cs="Arial"/>
          <w:sz w:val="22"/>
        </w:rPr>
        <w:t xml:space="preserve">accounts. This would allow the auditor to </w:t>
      </w:r>
      <w:r w:rsidR="005316EC" w:rsidRPr="000A7FD1">
        <w:rPr>
          <w:rFonts w:ascii="Arial" w:hAnsi="Arial" w:cs="Arial"/>
          <w:sz w:val="22"/>
        </w:rPr>
        <w:t xml:space="preserve">demonstrate that all accounts making up the line item total have been considered. </w:t>
      </w:r>
      <w:r w:rsidR="00AD6781" w:rsidRPr="000A7FD1">
        <w:rPr>
          <w:rFonts w:ascii="Arial" w:hAnsi="Arial" w:cs="Arial"/>
          <w:sz w:val="22"/>
        </w:rPr>
        <w:t>If the line item consists of many accounts, the auditor may list the accounts or additional accounts in an addendum to the LIRA</w:t>
      </w:r>
      <w:r w:rsidR="00FE2CD8" w:rsidRPr="000A7FD1">
        <w:rPr>
          <w:rFonts w:ascii="Arial" w:hAnsi="Arial" w:cs="Arial"/>
          <w:sz w:val="22"/>
        </w:rPr>
        <w:t xml:space="preserve"> form</w:t>
      </w:r>
      <w:r w:rsidR="00AD6781" w:rsidRPr="000A7FD1">
        <w:rPr>
          <w:rFonts w:ascii="Arial" w:hAnsi="Arial" w:cs="Arial"/>
          <w:sz w:val="22"/>
        </w:rPr>
        <w:t xml:space="preserve">. </w:t>
      </w:r>
      <w:r w:rsidR="00D83A19" w:rsidRPr="000A7FD1">
        <w:rPr>
          <w:rFonts w:ascii="Arial" w:hAnsi="Arial" w:cs="Arial"/>
          <w:sz w:val="22"/>
        </w:rPr>
        <w:t xml:space="preserve">The auditor will list the related classes of transactions in column 3, as explained below. </w:t>
      </w:r>
      <w:r w:rsidR="00E66BB1" w:rsidRPr="000A7FD1">
        <w:rPr>
          <w:rFonts w:ascii="Arial" w:hAnsi="Arial" w:cs="Arial"/>
          <w:sz w:val="22"/>
        </w:rPr>
        <w:t>However, i</w:t>
      </w:r>
      <w:r w:rsidR="005C5FAB" w:rsidRPr="000A7FD1">
        <w:rPr>
          <w:rFonts w:ascii="Arial" w:hAnsi="Arial" w:cs="Arial"/>
          <w:sz w:val="22"/>
        </w:rPr>
        <w:t>f the LIRA</w:t>
      </w:r>
      <w:r w:rsidR="00FE2CD8" w:rsidRPr="000A7FD1">
        <w:rPr>
          <w:rFonts w:ascii="Arial" w:hAnsi="Arial" w:cs="Arial"/>
          <w:sz w:val="22"/>
        </w:rPr>
        <w:t xml:space="preserve"> form</w:t>
      </w:r>
      <w:r w:rsidR="005C5FAB" w:rsidRPr="000A7FD1">
        <w:rPr>
          <w:rFonts w:ascii="Arial" w:hAnsi="Arial" w:cs="Arial"/>
          <w:sz w:val="22"/>
        </w:rPr>
        <w:t xml:space="preserve"> is prepared for a class of transactions</w:t>
      </w:r>
      <w:r w:rsidR="007601A2" w:rsidRPr="000A7FD1">
        <w:rPr>
          <w:rFonts w:ascii="Arial" w:hAnsi="Arial" w:cs="Arial"/>
          <w:sz w:val="22"/>
        </w:rPr>
        <w:t xml:space="preserve"> or note disclosure</w:t>
      </w:r>
      <w:r w:rsidR="003B7D0F" w:rsidRPr="000A7FD1">
        <w:rPr>
          <w:rFonts w:ascii="Arial" w:hAnsi="Arial" w:cs="Arial"/>
          <w:sz w:val="22"/>
        </w:rPr>
        <w:t xml:space="preserve"> only</w:t>
      </w:r>
      <w:r w:rsidR="005C5FAB" w:rsidRPr="000A7FD1">
        <w:rPr>
          <w:rFonts w:ascii="Arial" w:hAnsi="Arial" w:cs="Arial"/>
          <w:sz w:val="22"/>
        </w:rPr>
        <w:t xml:space="preserve">, the auditor should </w:t>
      </w:r>
      <w:r w:rsidR="00E66BB1" w:rsidRPr="000A7FD1">
        <w:rPr>
          <w:rFonts w:ascii="Arial" w:hAnsi="Arial" w:cs="Arial"/>
          <w:sz w:val="22"/>
        </w:rPr>
        <w:t xml:space="preserve">replace </w:t>
      </w:r>
      <w:r w:rsidR="007601A2" w:rsidRPr="000A7FD1">
        <w:rPr>
          <w:rFonts w:ascii="Arial" w:hAnsi="Arial" w:cs="Arial"/>
          <w:sz w:val="22"/>
        </w:rPr>
        <w:t xml:space="preserve">the header information </w:t>
      </w:r>
      <w:r w:rsidR="00E66BB1" w:rsidRPr="000A7FD1">
        <w:rPr>
          <w:rFonts w:ascii="Arial" w:hAnsi="Arial" w:cs="Arial"/>
          <w:sz w:val="22"/>
        </w:rPr>
        <w:t>with the class of transaction</w:t>
      </w:r>
      <w:r w:rsidR="00255B82" w:rsidRPr="000A7FD1">
        <w:rPr>
          <w:rFonts w:ascii="Arial" w:hAnsi="Arial" w:cs="Arial"/>
          <w:sz w:val="22"/>
        </w:rPr>
        <w:t>s</w:t>
      </w:r>
      <w:r w:rsidR="00E66BB1" w:rsidRPr="000A7FD1">
        <w:rPr>
          <w:rFonts w:ascii="Arial" w:hAnsi="Arial" w:cs="Arial"/>
          <w:sz w:val="22"/>
        </w:rPr>
        <w:t xml:space="preserve"> or note disclosure. </w:t>
      </w:r>
    </w:p>
    <w:p w14:paraId="20FA52DD" w14:textId="6166495B" w:rsidR="000169C5" w:rsidRPr="000A7FD1" w:rsidRDefault="000169C5" w:rsidP="000A3D51">
      <w:pPr>
        <w:pStyle w:val="FAM-Num-1"/>
        <w:ind w:left="1440"/>
        <w:rPr>
          <w:rFonts w:ascii="Arial" w:hAnsi="Arial" w:cs="Arial"/>
          <w:sz w:val="22"/>
        </w:rPr>
      </w:pPr>
      <w:r w:rsidRPr="000A7FD1">
        <w:rPr>
          <w:rFonts w:ascii="Arial" w:hAnsi="Arial" w:cs="Arial"/>
          <w:b/>
          <w:bCs w:val="0"/>
          <w:sz w:val="22"/>
        </w:rPr>
        <w:t>Planning Phase:</w:t>
      </w:r>
      <w:r w:rsidRPr="000A7FD1">
        <w:rPr>
          <w:rFonts w:ascii="Arial" w:hAnsi="Arial" w:cs="Arial"/>
          <w:sz w:val="22"/>
        </w:rPr>
        <w:t xml:space="preserve"> </w:t>
      </w:r>
    </w:p>
    <w:p w14:paraId="48640A5B" w14:textId="346B102B" w:rsidR="00856A2C" w:rsidRPr="000A7FD1" w:rsidRDefault="00856A2C" w:rsidP="00227A00">
      <w:pPr>
        <w:pStyle w:val="FAM-Num-1"/>
        <w:numPr>
          <w:ilvl w:val="0"/>
          <w:numId w:val="16"/>
        </w:numPr>
        <w:rPr>
          <w:rFonts w:ascii="Arial" w:hAnsi="Arial" w:cs="Arial"/>
          <w:sz w:val="22"/>
        </w:rPr>
      </w:pPr>
      <w:r w:rsidRPr="000A7FD1">
        <w:rPr>
          <w:rFonts w:ascii="Arial" w:hAnsi="Arial" w:cs="Arial"/>
          <w:sz w:val="22"/>
        </w:rPr>
        <w:t xml:space="preserve">In column </w:t>
      </w:r>
      <w:r w:rsidR="00E74218" w:rsidRPr="000A7FD1">
        <w:rPr>
          <w:rFonts w:ascii="Arial" w:hAnsi="Arial" w:cs="Arial"/>
          <w:sz w:val="22"/>
        </w:rPr>
        <w:t>1</w:t>
      </w:r>
      <w:r w:rsidR="008B1849" w:rsidRPr="000A7FD1">
        <w:rPr>
          <w:rFonts w:ascii="Arial" w:hAnsi="Arial" w:cs="Arial"/>
          <w:sz w:val="22"/>
        </w:rPr>
        <w:t>,</w:t>
      </w:r>
      <w:r w:rsidRPr="000A7FD1">
        <w:rPr>
          <w:rFonts w:ascii="Arial" w:hAnsi="Arial" w:cs="Arial"/>
          <w:sz w:val="22"/>
        </w:rPr>
        <w:t xml:space="preserve"> list each </w:t>
      </w:r>
      <w:r w:rsidR="00CE66F4" w:rsidRPr="000A7FD1">
        <w:rPr>
          <w:rFonts w:ascii="Arial" w:hAnsi="Arial" w:cs="Arial"/>
          <w:sz w:val="22"/>
        </w:rPr>
        <w:t xml:space="preserve">of the five </w:t>
      </w:r>
      <w:r w:rsidRPr="000A7FD1">
        <w:rPr>
          <w:rFonts w:ascii="Arial" w:hAnsi="Arial" w:cs="Arial"/>
          <w:sz w:val="22"/>
        </w:rPr>
        <w:t>assertion</w:t>
      </w:r>
      <w:r w:rsidR="00CE66F4" w:rsidRPr="000A7FD1">
        <w:rPr>
          <w:rFonts w:ascii="Arial" w:hAnsi="Arial" w:cs="Arial"/>
          <w:sz w:val="22"/>
        </w:rPr>
        <w:t xml:space="preserve">s discussed in </w:t>
      </w:r>
      <w:r w:rsidRPr="000A7FD1">
        <w:rPr>
          <w:rFonts w:ascii="Arial" w:hAnsi="Arial" w:cs="Arial"/>
          <w:sz w:val="22"/>
        </w:rPr>
        <w:t>FAM 2</w:t>
      </w:r>
      <w:r w:rsidR="0041167E" w:rsidRPr="000A7FD1">
        <w:rPr>
          <w:rFonts w:ascii="Arial" w:hAnsi="Arial" w:cs="Arial"/>
          <w:sz w:val="22"/>
        </w:rPr>
        <w:t>35</w:t>
      </w:r>
      <w:r w:rsidR="00CE66F4" w:rsidRPr="000A7FD1">
        <w:rPr>
          <w:rFonts w:ascii="Arial" w:hAnsi="Arial" w:cs="Arial"/>
          <w:sz w:val="22"/>
        </w:rPr>
        <w:t>.</w:t>
      </w:r>
      <w:r w:rsidR="00E3653B" w:rsidRPr="000A7FD1">
        <w:rPr>
          <w:rFonts w:ascii="Arial" w:hAnsi="Arial" w:cs="Arial"/>
          <w:sz w:val="22"/>
        </w:rPr>
        <w:t xml:space="preserve"> If an assertion is not applicable to the line item</w:t>
      </w:r>
      <w:r w:rsidR="00951671" w:rsidRPr="000A7FD1">
        <w:rPr>
          <w:rFonts w:ascii="Arial" w:hAnsi="Arial" w:cs="Arial"/>
          <w:sz w:val="22"/>
        </w:rPr>
        <w:t xml:space="preserve"> or any of </w:t>
      </w:r>
      <w:r w:rsidR="003B7D0F" w:rsidRPr="000A7FD1">
        <w:rPr>
          <w:rFonts w:ascii="Arial" w:hAnsi="Arial" w:cs="Arial"/>
          <w:sz w:val="22"/>
        </w:rPr>
        <w:t>its</w:t>
      </w:r>
      <w:r w:rsidR="004F2101" w:rsidRPr="000A7FD1">
        <w:rPr>
          <w:rFonts w:ascii="Arial" w:hAnsi="Arial" w:cs="Arial"/>
          <w:sz w:val="22"/>
        </w:rPr>
        <w:t xml:space="preserve"> </w:t>
      </w:r>
      <w:r w:rsidR="002F6C58" w:rsidRPr="000A7FD1">
        <w:rPr>
          <w:rFonts w:ascii="Arial" w:hAnsi="Arial" w:cs="Arial"/>
          <w:sz w:val="22"/>
        </w:rPr>
        <w:t xml:space="preserve">related </w:t>
      </w:r>
      <w:r w:rsidR="004F2101" w:rsidRPr="000A7FD1">
        <w:rPr>
          <w:rFonts w:ascii="Arial" w:hAnsi="Arial" w:cs="Arial"/>
          <w:sz w:val="22"/>
        </w:rPr>
        <w:t>account</w:t>
      </w:r>
      <w:r w:rsidR="009E2B4F" w:rsidRPr="000A7FD1">
        <w:rPr>
          <w:rFonts w:ascii="Arial" w:hAnsi="Arial" w:cs="Arial"/>
          <w:sz w:val="22"/>
        </w:rPr>
        <w:t>s</w:t>
      </w:r>
      <w:r w:rsidR="004F2101" w:rsidRPr="000A7FD1">
        <w:rPr>
          <w:rFonts w:ascii="Arial" w:hAnsi="Arial" w:cs="Arial"/>
          <w:sz w:val="22"/>
        </w:rPr>
        <w:t>, note disclosure</w:t>
      </w:r>
      <w:r w:rsidR="009E2B4F" w:rsidRPr="000A7FD1">
        <w:rPr>
          <w:rFonts w:ascii="Arial" w:hAnsi="Arial" w:cs="Arial"/>
          <w:sz w:val="22"/>
        </w:rPr>
        <w:t>s</w:t>
      </w:r>
      <w:r w:rsidR="00E3653B" w:rsidRPr="000A7FD1">
        <w:rPr>
          <w:rFonts w:ascii="Arial" w:hAnsi="Arial" w:cs="Arial"/>
          <w:sz w:val="22"/>
        </w:rPr>
        <w:t xml:space="preserve">, </w:t>
      </w:r>
      <w:r w:rsidR="00063776" w:rsidRPr="000A7FD1">
        <w:rPr>
          <w:rFonts w:ascii="Arial" w:hAnsi="Arial" w:cs="Arial"/>
          <w:sz w:val="22"/>
        </w:rPr>
        <w:t>or</w:t>
      </w:r>
      <w:r w:rsidR="001C26D3" w:rsidRPr="000A7FD1">
        <w:rPr>
          <w:rFonts w:ascii="Arial" w:hAnsi="Arial" w:cs="Arial"/>
          <w:sz w:val="22"/>
        </w:rPr>
        <w:t xml:space="preserve"> class</w:t>
      </w:r>
      <w:r w:rsidR="009E2B4F" w:rsidRPr="000A7FD1">
        <w:rPr>
          <w:rFonts w:ascii="Arial" w:hAnsi="Arial" w:cs="Arial"/>
          <w:sz w:val="22"/>
        </w:rPr>
        <w:t>es</w:t>
      </w:r>
      <w:r w:rsidR="001C26D3" w:rsidRPr="000A7FD1">
        <w:rPr>
          <w:rFonts w:ascii="Arial" w:hAnsi="Arial" w:cs="Arial"/>
          <w:sz w:val="22"/>
        </w:rPr>
        <w:t xml:space="preserve"> of transactions</w:t>
      </w:r>
      <w:r w:rsidR="00951671" w:rsidRPr="000A7FD1">
        <w:rPr>
          <w:rFonts w:ascii="Arial" w:hAnsi="Arial" w:cs="Arial"/>
          <w:sz w:val="22"/>
        </w:rPr>
        <w:t xml:space="preserve">, </w:t>
      </w:r>
      <w:r w:rsidR="00E3653B" w:rsidRPr="000A7FD1">
        <w:rPr>
          <w:rFonts w:ascii="Arial" w:hAnsi="Arial" w:cs="Arial"/>
          <w:sz w:val="22"/>
        </w:rPr>
        <w:t xml:space="preserve">the auditor may exclude </w:t>
      </w:r>
      <w:r w:rsidR="00951671" w:rsidRPr="000A7FD1">
        <w:rPr>
          <w:rFonts w:ascii="Arial" w:hAnsi="Arial" w:cs="Arial"/>
          <w:sz w:val="22"/>
        </w:rPr>
        <w:t xml:space="preserve">the assertion </w:t>
      </w:r>
      <w:r w:rsidR="00E3653B" w:rsidRPr="000A7FD1">
        <w:rPr>
          <w:rFonts w:ascii="Arial" w:hAnsi="Arial" w:cs="Arial"/>
          <w:sz w:val="22"/>
        </w:rPr>
        <w:t>from the LIRA</w:t>
      </w:r>
      <w:r w:rsidR="00FE2CD8" w:rsidRPr="000A7FD1">
        <w:rPr>
          <w:rFonts w:ascii="Arial" w:hAnsi="Arial" w:cs="Arial"/>
          <w:sz w:val="22"/>
        </w:rPr>
        <w:t xml:space="preserve"> form</w:t>
      </w:r>
      <w:r w:rsidR="00E3653B" w:rsidRPr="000A7FD1">
        <w:rPr>
          <w:rFonts w:ascii="Arial" w:hAnsi="Arial" w:cs="Arial"/>
          <w:sz w:val="22"/>
        </w:rPr>
        <w:t xml:space="preserve">. For example, the auditor may exclude the rights and obligations assertion from the LIRA </w:t>
      </w:r>
      <w:r w:rsidR="00FE2CD8" w:rsidRPr="000A7FD1">
        <w:rPr>
          <w:rFonts w:ascii="Arial" w:hAnsi="Arial" w:cs="Arial"/>
          <w:sz w:val="22"/>
        </w:rPr>
        <w:t xml:space="preserve">form </w:t>
      </w:r>
      <w:r w:rsidR="00E3653B" w:rsidRPr="000A7FD1">
        <w:rPr>
          <w:rFonts w:ascii="Arial" w:hAnsi="Arial" w:cs="Arial"/>
          <w:sz w:val="22"/>
        </w:rPr>
        <w:t xml:space="preserve">for </w:t>
      </w:r>
      <w:r w:rsidR="004D3E9F" w:rsidRPr="000A7FD1">
        <w:rPr>
          <w:rFonts w:ascii="Arial" w:hAnsi="Arial" w:cs="Arial"/>
          <w:sz w:val="22"/>
        </w:rPr>
        <w:t>net cost line items</w:t>
      </w:r>
      <w:r w:rsidR="00E3653B" w:rsidRPr="000A7FD1">
        <w:rPr>
          <w:rFonts w:ascii="Arial" w:hAnsi="Arial" w:cs="Arial"/>
          <w:sz w:val="22"/>
        </w:rPr>
        <w:t>.</w:t>
      </w:r>
      <w:r w:rsidR="004D3E9F" w:rsidRPr="000A7FD1">
        <w:rPr>
          <w:rFonts w:ascii="Arial" w:hAnsi="Arial" w:cs="Arial"/>
          <w:sz w:val="22"/>
        </w:rPr>
        <w:t xml:space="preserve"> </w:t>
      </w:r>
      <w:r w:rsidR="001C26D3" w:rsidRPr="000A7FD1">
        <w:rPr>
          <w:rFonts w:ascii="Arial" w:hAnsi="Arial" w:cs="Arial"/>
          <w:sz w:val="22"/>
        </w:rPr>
        <w:t xml:space="preserve">For </w:t>
      </w:r>
      <w:r w:rsidR="00D83A19" w:rsidRPr="000A7FD1">
        <w:rPr>
          <w:rFonts w:ascii="Arial" w:hAnsi="Arial" w:cs="Arial"/>
          <w:sz w:val="22"/>
        </w:rPr>
        <w:t>balance sheet line items, th</w:t>
      </w:r>
      <w:r w:rsidR="001C26D3" w:rsidRPr="000A7FD1">
        <w:rPr>
          <w:rFonts w:ascii="Arial" w:hAnsi="Arial" w:cs="Arial"/>
          <w:sz w:val="22"/>
        </w:rPr>
        <w:t xml:space="preserve">e auditor </w:t>
      </w:r>
      <w:r w:rsidR="004D3E9F" w:rsidRPr="000A7FD1">
        <w:rPr>
          <w:rFonts w:ascii="Arial" w:hAnsi="Arial" w:cs="Arial"/>
          <w:sz w:val="22"/>
        </w:rPr>
        <w:t>should</w:t>
      </w:r>
      <w:r w:rsidR="001C26D3" w:rsidRPr="000A7FD1">
        <w:rPr>
          <w:rFonts w:ascii="Arial" w:hAnsi="Arial" w:cs="Arial"/>
          <w:sz w:val="22"/>
        </w:rPr>
        <w:t xml:space="preserve"> include all five assertions</w:t>
      </w:r>
      <w:r w:rsidR="00D83A19" w:rsidRPr="000A7FD1">
        <w:rPr>
          <w:rFonts w:ascii="Arial" w:hAnsi="Arial" w:cs="Arial"/>
          <w:sz w:val="22"/>
        </w:rPr>
        <w:t>.</w:t>
      </w:r>
    </w:p>
    <w:p w14:paraId="2AF25D79" w14:textId="6D0F0373" w:rsidR="002F6C58" w:rsidRPr="000A7FD1" w:rsidRDefault="00856A2C" w:rsidP="00772A86">
      <w:pPr>
        <w:pStyle w:val="ListParagraph"/>
        <w:numPr>
          <w:ilvl w:val="0"/>
          <w:numId w:val="16"/>
        </w:numPr>
        <w:rPr>
          <w:rFonts w:cs="Arial"/>
          <w:bCs/>
          <w:color w:val="000000"/>
        </w:rPr>
      </w:pPr>
      <w:r w:rsidRPr="000A7FD1">
        <w:rPr>
          <w:rFonts w:cs="Arial"/>
        </w:rPr>
        <w:t xml:space="preserve">In column </w:t>
      </w:r>
      <w:r w:rsidR="00E74218" w:rsidRPr="000A7FD1">
        <w:rPr>
          <w:rFonts w:cs="Arial"/>
        </w:rPr>
        <w:t>2</w:t>
      </w:r>
      <w:r w:rsidR="00ED1342" w:rsidRPr="000A7FD1">
        <w:rPr>
          <w:rFonts w:cs="Arial"/>
        </w:rPr>
        <w:t xml:space="preserve">, list </w:t>
      </w:r>
      <w:r w:rsidR="00A70C43" w:rsidRPr="000A7FD1">
        <w:rPr>
          <w:rFonts w:cs="Arial"/>
        </w:rPr>
        <w:t xml:space="preserve">the </w:t>
      </w:r>
      <w:r w:rsidR="00EA5239" w:rsidRPr="000A7FD1">
        <w:rPr>
          <w:rFonts w:cs="Arial"/>
        </w:rPr>
        <w:t xml:space="preserve">identified risks </w:t>
      </w:r>
      <w:r w:rsidR="00240DF6" w:rsidRPr="000A7FD1">
        <w:rPr>
          <w:rFonts w:cs="Arial"/>
        </w:rPr>
        <w:t>for the line item</w:t>
      </w:r>
      <w:r w:rsidR="006933D9" w:rsidRPr="000A7FD1">
        <w:rPr>
          <w:rFonts w:cs="Arial"/>
        </w:rPr>
        <w:t xml:space="preserve"> and its related </w:t>
      </w:r>
      <w:r w:rsidR="00930EE8" w:rsidRPr="000A7FD1">
        <w:rPr>
          <w:rFonts w:cs="Arial"/>
        </w:rPr>
        <w:t>account</w:t>
      </w:r>
      <w:r w:rsidR="006933D9" w:rsidRPr="000A7FD1">
        <w:rPr>
          <w:rFonts w:cs="Arial"/>
        </w:rPr>
        <w:t>s</w:t>
      </w:r>
      <w:r w:rsidR="00930EE8" w:rsidRPr="000A7FD1">
        <w:rPr>
          <w:rFonts w:cs="Arial"/>
        </w:rPr>
        <w:t>, note disclosure</w:t>
      </w:r>
      <w:r w:rsidR="006933D9" w:rsidRPr="000A7FD1">
        <w:rPr>
          <w:rFonts w:cs="Arial"/>
        </w:rPr>
        <w:t>s</w:t>
      </w:r>
      <w:r w:rsidR="00D83A19" w:rsidRPr="000A7FD1">
        <w:rPr>
          <w:rFonts w:cs="Arial"/>
        </w:rPr>
        <w:t xml:space="preserve">, </w:t>
      </w:r>
      <w:r w:rsidR="006933D9" w:rsidRPr="000A7FD1">
        <w:rPr>
          <w:rFonts w:cs="Arial"/>
        </w:rPr>
        <w:t>and</w:t>
      </w:r>
      <w:r w:rsidR="00D83A19" w:rsidRPr="000A7FD1">
        <w:rPr>
          <w:rFonts w:cs="Arial"/>
        </w:rPr>
        <w:t xml:space="preserve"> class</w:t>
      </w:r>
      <w:r w:rsidR="006933D9" w:rsidRPr="000A7FD1">
        <w:rPr>
          <w:rFonts w:cs="Arial"/>
        </w:rPr>
        <w:t>es</w:t>
      </w:r>
      <w:r w:rsidR="00D83A19" w:rsidRPr="000A7FD1">
        <w:rPr>
          <w:rFonts w:cs="Arial"/>
        </w:rPr>
        <w:t xml:space="preserve"> of transactions</w:t>
      </w:r>
      <w:r w:rsidR="00063776" w:rsidRPr="000A7FD1">
        <w:rPr>
          <w:rFonts w:cs="Arial"/>
        </w:rPr>
        <w:t xml:space="preserve"> (classes of transactions are </w:t>
      </w:r>
      <w:r w:rsidR="00063776" w:rsidRPr="000A7FD1">
        <w:rPr>
          <w:rFonts w:cs="Arial"/>
        </w:rPr>
        <w:lastRenderedPageBreak/>
        <w:t>identified in column 3)</w:t>
      </w:r>
      <w:bookmarkStart w:id="5" w:name="_Hlk161404787"/>
      <w:r w:rsidR="00CF6299" w:rsidRPr="000A7FD1">
        <w:rPr>
          <w:rFonts w:cs="Arial"/>
        </w:rPr>
        <w:t xml:space="preserve">. </w:t>
      </w:r>
      <w:r w:rsidR="0000684B" w:rsidRPr="000A7FD1">
        <w:rPr>
          <w:rFonts w:cs="Arial"/>
        </w:rPr>
        <w:t>T</w:t>
      </w:r>
      <w:r w:rsidR="00772A86" w:rsidRPr="000A7FD1">
        <w:rPr>
          <w:rFonts w:cs="Arial"/>
          <w:bCs/>
          <w:color w:val="000000"/>
        </w:rPr>
        <w:t>he auditor tailor</w:t>
      </w:r>
      <w:r w:rsidR="00063776" w:rsidRPr="000A7FD1">
        <w:rPr>
          <w:rFonts w:cs="Arial"/>
          <w:bCs/>
          <w:color w:val="000000"/>
        </w:rPr>
        <w:t>s</w:t>
      </w:r>
      <w:r w:rsidR="00772A86" w:rsidRPr="000A7FD1">
        <w:rPr>
          <w:rFonts w:cs="Arial"/>
          <w:bCs/>
          <w:color w:val="000000"/>
        </w:rPr>
        <w:t xml:space="preserve"> the potential misstatements in FAM 395 B to the specific circumstances of the entity. The auditor may identify multiple types of potential misstatements in an assertion</w:t>
      </w:r>
      <w:r w:rsidR="00BF7519" w:rsidRPr="000A7FD1">
        <w:rPr>
          <w:rFonts w:cs="Arial"/>
          <w:bCs/>
          <w:color w:val="000000"/>
        </w:rPr>
        <w:t xml:space="preserve"> (see FAM 330)</w:t>
      </w:r>
      <w:r w:rsidR="00825018" w:rsidRPr="000A7FD1">
        <w:rPr>
          <w:rFonts w:cs="Arial"/>
          <w:bCs/>
          <w:color w:val="000000"/>
        </w:rPr>
        <w:t xml:space="preserve">. </w:t>
      </w:r>
    </w:p>
    <w:p w14:paraId="631CCE7C" w14:textId="29F6DF07" w:rsidR="00375A29" w:rsidRPr="000A7FD1" w:rsidRDefault="002F6C58" w:rsidP="003B3190">
      <w:pPr>
        <w:pStyle w:val="ListParagraph"/>
        <w:spacing w:before="0"/>
        <w:ind w:left="1800"/>
        <w:contextualSpacing w:val="0"/>
        <w:rPr>
          <w:rFonts w:cs="Arial"/>
          <w:bCs/>
          <w:color w:val="000000"/>
        </w:rPr>
      </w:pPr>
      <w:r w:rsidRPr="000A7FD1">
        <w:rPr>
          <w:rFonts w:cs="Arial"/>
          <w:bCs/>
          <w:color w:val="000000"/>
        </w:rPr>
        <w:t>M</w:t>
      </w:r>
      <w:r w:rsidR="00BF7519" w:rsidRPr="000A7FD1">
        <w:rPr>
          <w:rFonts w:cs="Arial"/>
          <w:bCs/>
          <w:color w:val="000000"/>
        </w:rPr>
        <w:t>isstatements are classified as transaction</w:t>
      </w:r>
      <w:r w:rsidR="00251377" w:rsidRPr="000A7FD1">
        <w:rPr>
          <w:rFonts w:cs="Arial"/>
          <w:bCs/>
          <w:color w:val="000000"/>
        </w:rPr>
        <w:t xml:space="preserve"> </w:t>
      </w:r>
      <w:r w:rsidR="00BF7519" w:rsidRPr="000A7FD1">
        <w:rPr>
          <w:rFonts w:cs="Arial"/>
          <w:bCs/>
          <w:color w:val="000000"/>
        </w:rPr>
        <w:t>related or line item/account</w:t>
      </w:r>
      <w:r w:rsidR="00251377" w:rsidRPr="000A7FD1">
        <w:rPr>
          <w:rFonts w:cs="Arial"/>
          <w:bCs/>
          <w:color w:val="000000"/>
        </w:rPr>
        <w:t xml:space="preserve"> </w:t>
      </w:r>
      <w:r w:rsidR="00BF7519" w:rsidRPr="000A7FD1">
        <w:rPr>
          <w:rFonts w:cs="Arial"/>
          <w:bCs/>
          <w:color w:val="000000"/>
        </w:rPr>
        <w:t xml:space="preserve">related. For line items </w:t>
      </w:r>
      <w:r w:rsidR="00BF7519" w:rsidRPr="000A7FD1">
        <w:t xml:space="preserve">that </w:t>
      </w:r>
      <w:r w:rsidR="00CB124E" w:rsidRPr="000A7FD1">
        <w:t xml:space="preserve">reflect </w:t>
      </w:r>
      <w:r w:rsidR="00BF7519" w:rsidRPr="000A7FD1">
        <w:t xml:space="preserve">the accumulation of </w:t>
      </w:r>
      <w:r w:rsidR="00CB124E" w:rsidRPr="000A7FD1">
        <w:t>activities</w:t>
      </w:r>
      <w:r w:rsidR="00BF7519" w:rsidRPr="000A7FD1">
        <w:t xml:space="preserve"> and events that occurred during the period under audit (e.g., revenues</w:t>
      </w:r>
      <w:r w:rsidRPr="000A7FD1">
        <w:t xml:space="preserve">, </w:t>
      </w:r>
      <w:r w:rsidR="00BF7519" w:rsidRPr="000A7FD1">
        <w:t>expenses</w:t>
      </w:r>
      <w:r w:rsidRPr="000A7FD1">
        <w:t xml:space="preserve">, and budgetary </w:t>
      </w:r>
      <w:r w:rsidR="00F808DB" w:rsidRPr="000A7FD1">
        <w:t>activity</w:t>
      </w:r>
      <w:r w:rsidR="00BF7519" w:rsidRPr="000A7FD1">
        <w:t xml:space="preserve">), the auditor typically considers transaction-related misstatements. </w:t>
      </w:r>
      <w:r w:rsidR="00BF7519" w:rsidRPr="000A7FD1">
        <w:rPr>
          <w:rFonts w:cs="Arial"/>
          <w:bCs/>
          <w:color w:val="000000"/>
        </w:rPr>
        <w:t>For</w:t>
      </w:r>
      <w:r w:rsidR="00BF7519" w:rsidRPr="000A7FD1">
        <w:t xml:space="preserve"> line items that reflect balances at period-end (e.g., asset, liability, net position, or </w:t>
      </w:r>
      <w:r w:rsidR="00E11F5D" w:rsidRPr="000A7FD1">
        <w:t xml:space="preserve">ending </w:t>
      </w:r>
      <w:r w:rsidR="00BF7519" w:rsidRPr="000A7FD1">
        <w:t>budgetary balances), the auditor typically considers both transaction-related and line</w:t>
      </w:r>
      <w:r w:rsidR="00CB124E" w:rsidRPr="000A7FD1">
        <w:t xml:space="preserve"> </w:t>
      </w:r>
      <w:r w:rsidR="00BF7519" w:rsidRPr="000A7FD1">
        <w:t>item/account</w:t>
      </w:r>
      <w:r w:rsidR="00CB124E" w:rsidRPr="000A7FD1">
        <w:t>-</w:t>
      </w:r>
      <w:r w:rsidR="00BF7519" w:rsidRPr="000A7FD1">
        <w:t xml:space="preserve">related misstatements. </w:t>
      </w:r>
      <w:r w:rsidR="00825018" w:rsidRPr="000A7FD1">
        <w:rPr>
          <w:rFonts w:cs="Arial"/>
          <w:bCs/>
          <w:color w:val="000000"/>
        </w:rPr>
        <w:t>For example, for the cash line item, the auditor would identify potential misstatements in existence but also in occurrence</w:t>
      </w:r>
      <w:r w:rsidR="000C1798" w:rsidRPr="000A7FD1">
        <w:rPr>
          <w:rFonts w:cs="Arial"/>
          <w:bCs/>
          <w:color w:val="000000"/>
        </w:rPr>
        <w:t>/validity</w:t>
      </w:r>
      <w:r w:rsidR="00825018" w:rsidRPr="000A7FD1">
        <w:rPr>
          <w:rFonts w:cs="Arial"/>
          <w:bCs/>
          <w:color w:val="000000"/>
        </w:rPr>
        <w:t xml:space="preserve"> because cash is affected by </w:t>
      </w:r>
      <w:r w:rsidR="006933D9" w:rsidRPr="000A7FD1">
        <w:rPr>
          <w:rFonts w:cs="Arial"/>
          <w:bCs/>
          <w:color w:val="000000"/>
        </w:rPr>
        <w:t xml:space="preserve">the </w:t>
      </w:r>
      <w:r w:rsidR="00825018" w:rsidRPr="000A7FD1">
        <w:rPr>
          <w:rFonts w:cs="Arial"/>
          <w:bCs/>
          <w:color w:val="000000"/>
        </w:rPr>
        <w:t>cash receipt and disbursement transactions that occurred during the year. S</w:t>
      </w:r>
      <w:r w:rsidR="00772A86" w:rsidRPr="000A7FD1">
        <w:rPr>
          <w:rFonts w:cs="Arial"/>
          <w:bCs/>
          <w:color w:val="000000"/>
        </w:rPr>
        <w:t xml:space="preserve">ome types of potential misstatements may affect only a portion or component of a line item. </w:t>
      </w:r>
      <w:r w:rsidR="00096384" w:rsidRPr="000A7FD1">
        <w:rPr>
          <w:rFonts w:cs="Arial"/>
          <w:bCs/>
          <w:color w:val="000000"/>
        </w:rPr>
        <w:t>Additionally, s</w:t>
      </w:r>
      <w:r w:rsidR="009869D8" w:rsidRPr="000A7FD1">
        <w:rPr>
          <w:rFonts w:cs="Arial"/>
          <w:bCs/>
          <w:color w:val="000000"/>
        </w:rPr>
        <w:t>ome potential misstatements may not be applicable for a given line item</w:t>
      </w:r>
      <w:r w:rsidR="006933D9" w:rsidRPr="000A7FD1">
        <w:rPr>
          <w:rFonts w:cs="Arial"/>
          <w:bCs/>
          <w:color w:val="000000"/>
        </w:rPr>
        <w:t xml:space="preserve"> or its related accounts, note disclosures, and classes of transactions</w:t>
      </w:r>
      <w:r w:rsidR="009869D8" w:rsidRPr="000A7FD1">
        <w:rPr>
          <w:rFonts w:cs="Arial"/>
          <w:bCs/>
          <w:color w:val="000000"/>
        </w:rPr>
        <w:t>. For example, the potential misstatement</w:t>
      </w:r>
      <w:r w:rsidR="006933D9" w:rsidRPr="000A7FD1">
        <w:rPr>
          <w:rFonts w:cs="Arial"/>
          <w:bCs/>
          <w:color w:val="000000"/>
        </w:rPr>
        <w:t>s</w:t>
      </w:r>
      <w:r w:rsidR="009869D8" w:rsidRPr="000A7FD1">
        <w:rPr>
          <w:rFonts w:cs="Arial"/>
          <w:bCs/>
          <w:color w:val="000000"/>
        </w:rPr>
        <w:t xml:space="preserve"> </w:t>
      </w:r>
      <w:r w:rsidR="00096384" w:rsidRPr="000A7FD1">
        <w:rPr>
          <w:rFonts w:cs="Arial"/>
          <w:bCs/>
          <w:color w:val="000000"/>
        </w:rPr>
        <w:t xml:space="preserve">related to </w:t>
      </w:r>
      <w:r w:rsidR="000A1064" w:rsidRPr="000A7FD1">
        <w:rPr>
          <w:rFonts w:cs="Arial"/>
          <w:bCs/>
          <w:color w:val="000000"/>
        </w:rPr>
        <w:t>existence</w:t>
      </w:r>
      <w:r w:rsidR="006933D9" w:rsidRPr="000A7FD1">
        <w:rPr>
          <w:rFonts w:cs="Arial"/>
          <w:bCs/>
          <w:color w:val="000000"/>
        </w:rPr>
        <w:t>, ownership, rights, and obligations</w:t>
      </w:r>
      <w:r w:rsidR="00096384" w:rsidRPr="000A7FD1">
        <w:rPr>
          <w:rFonts w:cs="Arial"/>
          <w:bCs/>
          <w:color w:val="000000"/>
        </w:rPr>
        <w:t xml:space="preserve"> in FAM 395 B </w:t>
      </w:r>
      <w:r w:rsidR="006933D9" w:rsidRPr="000A7FD1">
        <w:rPr>
          <w:rFonts w:cs="Arial"/>
          <w:bCs/>
          <w:color w:val="000000"/>
        </w:rPr>
        <w:t>are not applicable to net cost</w:t>
      </w:r>
      <w:r w:rsidR="00421ADA" w:rsidRPr="000A7FD1">
        <w:rPr>
          <w:rFonts w:cs="Arial"/>
          <w:bCs/>
          <w:color w:val="000000"/>
        </w:rPr>
        <w:t xml:space="preserve"> </w:t>
      </w:r>
      <w:r w:rsidR="00096384" w:rsidRPr="000A7FD1">
        <w:rPr>
          <w:rFonts w:cs="Arial"/>
          <w:bCs/>
          <w:color w:val="000000"/>
        </w:rPr>
        <w:t>line items</w:t>
      </w:r>
      <w:r w:rsidR="009869D8" w:rsidRPr="000A7FD1">
        <w:rPr>
          <w:rFonts w:cs="Arial"/>
          <w:bCs/>
          <w:color w:val="000000"/>
        </w:rPr>
        <w:t xml:space="preserve">. </w:t>
      </w:r>
    </w:p>
    <w:p w14:paraId="4F47469E" w14:textId="7ED6CE54" w:rsidR="000A3D51" w:rsidRPr="000A7FD1" w:rsidRDefault="007549D7" w:rsidP="00375A29">
      <w:pPr>
        <w:pStyle w:val="FAM-Num-1"/>
        <w:ind w:left="1800"/>
        <w:rPr>
          <w:rFonts w:ascii="Arial" w:hAnsi="Arial" w:cs="Arial"/>
          <w:b/>
          <w:bCs w:val="0"/>
          <w:sz w:val="22"/>
        </w:rPr>
      </w:pPr>
      <w:r w:rsidRPr="000A7FD1">
        <w:rPr>
          <w:rFonts w:ascii="Arial" w:hAnsi="Arial" w:cs="Arial"/>
          <w:sz w:val="22"/>
        </w:rPr>
        <w:t xml:space="preserve">These potential misstatements represent identified risks of material misstatement at the </w:t>
      </w:r>
      <w:r w:rsidRPr="000A7FD1">
        <w:rPr>
          <w:rFonts w:ascii="Arial" w:hAnsi="Arial" w:cs="Arial"/>
          <w:b/>
          <w:bCs w:val="0"/>
          <w:sz w:val="22"/>
        </w:rPr>
        <w:t>assertion level</w:t>
      </w:r>
      <w:r w:rsidRPr="000A7FD1">
        <w:rPr>
          <w:rFonts w:ascii="Arial" w:hAnsi="Arial" w:cs="Arial"/>
          <w:sz w:val="22"/>
        </w:rPr>
        <w:t xml:space="preserve">. </w:t>
      </w:r>
      <w:r w:rsidR="00CF6299" w:rsidRPr="000A7FD1">
        <w:rPr>
          <w:rFonts w:ascii="Arial" w:hAnsi="Arial" w:cs="Arial"/>
          <w:sz w:val="22"/>
        </w:rPr>
        <w:t xml:space="preserve">Risks of material misstatement identified at the </w:t>
      </w:r>
      <w:r w:rsidR="00CF6299" w:rsidRPr="000A7FD1">
        <w:rPr>
          <w:rFonts w:ascii="Arial" w:hAnsi="Arial" w:cs="Arial"/>
          <w:b/>
          <w:bCs w:val="0"/>
          <w:sz w:val="22"/>
        </w:rPr>
        <w:t>financial statement level</w:t>
      </w:r>
      <w:r w:rsidR="00CF6299" w:rsidRPr="000A7FD1">
        <w:rPr>
          <w:rFonts w:ascii="Arial" w:hAnsi="Arial" w:cs="Arial"/>
          <w:sz w:val="22"/>
        </w:rPr>
        <w:t xml:space="preserve"> are documented in the audit strategy and do not need to be included </w:t>
      </w:r>
      <w:r w:rsidR="00DA3B17" w:rsidRPr="000A7FD1">
        <w:rPr>
          <w:rFonts w:ascii="Arial" w:hAnsi="Arial" w:cs="Arial"/>
          <w:sz w:val="22"/>
        </w:rPr>
        <w:t>o</w:t>
      </w:r>
      <w:r w:rsidR="00CF6299" w:rsidRPr="000A7FD1">
        <w:rPr>
          <w:rFonts w:ascii="Arial" w:hAnsi="Arial" w:cs="Arial"/>
          <w:sz w:val="22"/>
        </w:rPr>
        <w:t xml:space="preserve">n the LIRA </w:t>
      </w:r>
      <w:r w:rsidR="00DA3B17" w:rsidRPr="000A7FD1">
        <w:rPr>
          <w:rFonts w:ascii="Arial" w:hAnsi="Arial" w:cs="Arial"/>
          <w:sz w:val="22"/>
        </w:rPr>
        <w:t xml:space="preserve">form </w:t>
      </w:r>
      <w:r w:rsidR="009E7E56" w:rsidRPr="000A7FD1">
        <w:rPr>
          <w:rFonts w:ascii="Arial" w:hAnsi="Arial" w:cs="Arial"/>
          <w:sz w:val="22"/>
        </w:rPr>
        <w:t>unless they also affect the assessment of risks at the assertion level</w:t>
      </w:r>
      <w:bookmarkEnd w:id="5"/>
      <w:r w:rsidR="009E7E56" w:rsidRPr="000A7FD1">
        <w:rPr>
          <w:rFonts w:ascii="Arial" w:hAnsi="Arial" w:cs="Arial"/>
          <w:sz w:val="22"/>
        </w:rPr>
        <w:t xml:space="preserve"> </w:t>
      </w:r>
      <w:r w:rsidR="00CF6299" w:rsidRPr="000A7FD1">
        <w:rPr>
          <w:rFonts w:ascii="Arial" w:hAnsi="Arial" w:cs="Arial"/>
          <w:sz w:val="22"/>
        </w:rPr>
        <w:t>(see FAM 290.0</w:t>
      </w:r>
      <w:r w:rsidR="0000684B" w:rsidRPr="000A7FD1">
        <w:rPr>
          <w:rFonts w:ascii="Arial" w:hAnsi="Arial" w:cs="Arial"/>
          <w:sz w:val="22"/>
        </w:rPr>
        <w:t>7m</w:t>
      </w:r>
      <w:r w:rsidR="00CF6299" w:rsidRPr="000A7FD1">
        <w:rPr>
          <w:rFonts w:ascii="Arial" w:hAnsi="Arial" w:cs="Arial"/>
          <w:sz w:val="22"/>
        </w:rPr>
        <w:t xml:space="preserve">). </w:t>
      </w:r>
    </w:p>
    <w:p w14:paraId="7DDCF2EA" w14:textId="291D1577" w:rsidR="00251377" w:rsidRPr="000A7FD1" w:rsidRDefault="000A3D51" w:rsidP="005816FE">
      <w:pPr>
        <w:pStyle w:val="FAM-Num-1"/>
        <w:numPr>
          <w:ilvl w:val="0"/>
          <w:numId w:val="16"/>
        </w:numPr>
        <w:rPr>
          <w:rFonts w:ascii="Arial" w:hAnsi="Arial" w:cs="Arial"/>
          <w:b/>
          <w:bCs w:val="0"/>
          <w:sz w:val="22"/>
        </w:rPr>
      </w:pPr>
      <w:r w:rsidRPr="000A7FD1">
        <w:rPr>
          <w:rFonts w:ascii="Arial" w:hAnsi="Arial" w:cs="Arial"/>
          <w:sz w:val="22"/>
        </w:rPr>
        <w:t xml:space="preserve">In column 3, </w:t>
      </w:r>
      <w:r w:rsidR="00AD372B" w:rsidRPr="000A7FD1">
        <w:rPr>
          <w:rFonts w:ascii="Arial" w:hAnsi="Arial" w:cs="Arial"/>
          <w:sz w:val="22"/>
        </w:rPr>
        <w:t xml:space="preserve">for each identified risk, </w:t>
      </w:r>
      <w:r w:rsidR="000A1064" w:rsidRPr="000A7FD1">
        <w:rPr>
          <w:rFonts w:ascii="Arial" w:hAnsi="Arial" w:cs="Arial"/>
          <w:sz w:val="22"/>
        </w:rPr>
        <w:t xml:space="preserve">list the classes of transactions that </w:t>
      </w:r>
      <w:r w:rsidR="00AD372B" w:rsidRPr="000A7FD1">
        <w:rPr>
          <w:rFonts w:ascii="Arial" w:hAnsi="Arial" w:cs="Arial"/>
          <w:sz w:val="22"/>
        </w:rPr>
        <w:t>contribute to the risk</w:t>
      </w:r>
      <w:r w:rsidR="000F74E7" w:rsidRPr="000A7FD1">
        <w:rPr>
          <w:rFonts w:ascii="Arial" w:hAnsi="Arial" w:cs="Arial"/>
          <w:sz w:val="22"/>
        </w:rPr>
        <w:t xml:space="preserve"> and </w:t>
      </w:r>
      <w:r w:rsidR="000A1064" w:rsidRPr="000A7FD1">
        <w:rPr>
          <w:rFonts w:ascii="Arial" w:hAnsi="Arial" w:cs="Arial"/>
          <w:sz w:val="22"/>
        </w:rPr>
        <w:t>refer</w:t>
      </w:r>
      <w:r w:rsidR="002F6C58" w:rsidRPr="000A7FD1">
        <w:rPr>
          <w:rFonts w:ascii="Arial" w:hAnsi="Arial" w:cs="Arial"/>
          <w:sz w:val="22"/>
        </w:rPr>
        <w:t>ence</w:t>
      </w:r>
      <w:r w:rsidR="000A1064" w:rsidRPr="000A7FD1">
        <w:rPr>
          <w:rFonts w:ascii="Arial" w:hAnsi="Arial" w:cs="Arial"/>
          <w:sz w:val="22"/>
        </w:rPr>
        <w:t xml:space="preserve"> the SCE</w:t>
      </w:r>
      <w:r w:rsidR="000F74E7" w:rsidRPr="000A7FD1">
        <w:rPr>
          <w:rFonts w:ascii="Arial" w:hAnsi="Arial" w:cs="Arial"/>
          <w:sz w:val="22"/>
        </w:rPr>
        <w:t xml:space="preserve"> worksheet</w:t>
      </w:r>
      <w:r w:rsidR="000A1064" w:rsidRPr="000A7FD1">
        <w:rPr>
          <w:rFonts w:ascii="Arial" w:hAnsi="Arial" w:cs="Arial"/>
          <w:sz w:val="22"/>
        </w:rPr>
        <w:t xml:space="preserve">s that address </w:t>
      </w:r>
      <w:r w:rsidR="000F74E7" w:rsidRPr="000A7FD1">
        <w:rPr>
          <w:rFonts w:ascii="Arial" w:hAnsi="Arial" w:cs="Arial"/>
          <w:sz w:val="22"/>
        </w:rPr>
        <w:t>them</w:t>
      </w:r>
      <w:r w:rsidR="000A1064" w:rsidRPr="000A7FD1">
        <w:rPr>
          <w:rFonts w:ascii="Arial" w:hAnsi="Arial" w:cs="Arial"/>
          <w:sz w:val="22"/>
        </w:rPr>
        <w:t xml:space="preserve">. </w:t>
      </w:r>
      <w:r w:rsidR="00AD372B" w:rsidRPr="000A7FD1">
        <w:rPr>
          <w:rFonts w:ascii="Arial" w:hAnsi="Arial" w:cs="Arial"/>
          <w:sz w:val="22"/>
        </w:rPr>
        <w:t xml:space="preserve">For example, </w:t>
      </w:r>
      <w:r w:rsidR="00413AE5" w:rsidRPr="000A7FD1">
        <w:rPr>
          <w:rFonts w:ascii="Arial" w:hAnsi="Arial" w:cs="Arial"/>
          <w:sz w:val="22"/>
        </w:rPr>
        <w:t>on the cash LIRA</w:t>
      </w:r>
      <w:r w:rsidR="00DA3B17" w:rsidRPr="000A7FD1">
        <w:rPr>
          <w:rFonts w:ascii="Arial" w:hAnsi="Arial" w:cs="Arial"/>
          <w:sz w:val="22"/>
        </w:rPr>
        <w:t xml:space="preserve"> form</w:t>
      </w:r>
      <w:r w:rsidR="00413AE5" w:rsidRPr="000A7FD1">
        <w:rPr>
          <w:rFonts w:ascii="Arial" w:hAnsi="Arial" w:cs="Arial"/>
          <w:sz w:val="22"/>
        </w:rPr>
        <w:t xml:space="preserve">, the auditor would typically identify a risk related to occurrence (i.e., recorded transactions did not actually occur). For this risk, the auditor would typically list cash receipts and cash disbursements </w:t>
      </w:r>
      <w:r w:rsidR="00193536" w:rsidRPr="000A7FD1">
        <w:rPr>
          <w:rFonts w:ascii="Arial" w:hAnsi="Arial" w:cs="Arial"/>
          <w:sz w:val="22"/>
        </w:rPr>
        <w:t xml:space="preserve">as the </w:t>
      </w:r>
      <w:r w:rsidR="00413AE5" w:rsidRPr="000A7FD1">
        <w:rPr>
          <w:rFonts w:ascii="Arial" w:hAnsi="Arial" w:cs="Arial"/>
          <w:sz w:val="22"/>
        </w:rPr>
        <w:t>classes of transactions</w:t>
      </w:r>
      <w:r w:rsidR="00193536" w:rsidRPr="000A7FD1">
        <w:rPr>
          <w:rFonts w:ascii="Arial" w:hAnsi="Arial" w:cs="Arial"/>
          <w:sz w:val="22"/>
        </w:rPr>
        <w:t xml:space="preserve"> that contribute to </w:t>
      </w:r>
      <w:r w:rsidR="005A24F8" w:rsidRPr="000A7FD1">
        <w:rPr>
          <w:rFonts w:ascii="Arial" w:hAnsi="Arial" w:cs="Arial"/>
          <w:sz w:val="22"/>
        </w:rPr>
        <w:t>the risk</w:t>
      </w:r>
      <w:r w:rsidR="00413AE5" w:rsidRPr="000A7FD1">
        <w:rPr>
          <w:rFonts w:ascii="Arial" w:hAnsi="Arial" w:cs="Arial"/>
          <w:sz w:val="22"/>
        </w:rPr>
        <w:t xml:space="preserve">. Other risks for which the auditor might list cash receipts and cash disbursements include those </w:t>
      </w:r>
      <w:r w:rsidR="003B7D0F" w:rsidRPr="000A7FD1">
        <w:rPr>
          <w:rFonts w:ascii="Arial" w:hAnsi="Arial" w:cs="Arial"/>
          <w:sz w:val="22"/>
        </w:rPr>
        <w:t xml:space="preserve">related to </w:t>
      </w:r>
      <w:r w:rsidR="00F719BD" w:rsidRPr="000A7FD1">
        <w:rPr>
          <w:rFonts w:ascii="Arial" w:hAnsi="Arial" w:cs="Arial"/>
          <w:sz w:val="22"/>
        </w:rPr>
        <w:t xml:space="preserve">transaction </w:t>
      </w:r>
      <w:r w:rsidR="003C0E58" w:rsidRPr="000A7FD1">
        <w:rPr>
          <w:rFonts w:ascii="Arial" w:hAnsi="Arial" w:cs="Arial"/>
          <w:sz w:val="22"/>
        </w:rPr>
        <w:t xml:space="preserve">completeness, </w:t>
      </w:r>
      <w:r w:rsidR="003B7D0F" w:rsidRPr="000A7FD1">
        <w:rPr>
          <w:rFonts w:ascii="Arial" w:hAnsi="Arial" w:cs="Arial"/>
          <w:sz w:val="22"/>
        </w:rPr>
        <w:t xml:space="preserve">cutoff, summarization, accuracy, presentation, consistency, </w:t>
      </w:r>
      <w:r w:rsidR="003A1ED2" w:rsidRPr="000A7FD1">
        <w:rPr>
          <w:rFonts w:ascii="Arial" w:hAnsi="Arial" w:cs="Arial"/>
          <w:sz w:val="22"/>
        </w:rPr>
        <w:t xml:space="preserve">and </w:t>
      </w:r>
      <w:r w:rsidR="003B7D0F" w:rsidRPr="000A7FD1">
        <w:rPr>
          <w:rFonts w:ascii="Arial" w:hAnsi="Arial" w:cs="Arial"/>
          <w:sz w:val="22"/>
        </w:rPr>
        <w:t>disclosure</w:t>
      </w:r>
      <w:r w:rsidR="000F74E7" w:rsidRPr="000A7FD1">
        <w:rPr>
          <w:rFonts w:ascii="Arial" w:hAnsi="Arial" w:cs="Arial"/>
          <w:sz w:val="22"/>
        </w:rPr>
        <w:t>.</w:t>
      </w:r>
      <w:r w:rsidR="00340782" w:rsidRPr="000A7FD1">
        <w:rPr>
          <w:rFonts w:ascii="Arial" w:hAnsi="Arial" w:cs="Arial"/>
          <w:sz w:val="22"/>
        </w:rPr>
        <w:t xml:space="preserve"> </w:t>
      </w:r>
    </w:p>
    <w:p w14:paraId="6261BB83" w14:textId="58B6BA70" w:rsidR="000A1064" w:rsidRPr="000A7FD1" w:rsidRDefault="00340782" w:rsidP="00251377">
      <w:pPr>
        <w:pStyle w:val="FAM-Num-1"/>
        <w:ind w:left="1800"/>
        <w:rPr>
          <w:rFonts w:ascii="Arial" w:hAnsi="Arial" w:cs="Arial"/>
          <w:b/>
          <w:bCs w:val="0"/>
          <w:sz w:val="22"/>
        </w:rPr>
      </w:pPr>
      <w:r w:rsidRPr="000A7FD1">
        <w:rPr>
          <w:rFonts w:ascii="Arial" w:hAnsi="Arial" w:cs="Arial"/>
          <w:sz w:val="22"/>
        </w:rPr>
        <w:t>On the cash LIRA</w:t>
      </w:r>
      <w:r w:rsidR="00DA3B17" w:rsidRPr="000A7FD1">
        <w:rPr>
          <w:rFonts w:ascii="Arial" w:hAnsi="Arial" w:cs="Arial"/>
          <w:sz w:val="22"/>
        </w:rPr>
        <w:t xml:space="preserve"> form</w:t>
      </w:r>
      <w:r w:rsidRPr="000A7FD1">
        <w:rPr>
          <w:rFonts w:ascii="Arial" w:hAnsi="Arial" w:cs="Arial"/>
          <w:sz w:val="22"/>
        </w:rPr>
        <w:t xml:space="preserve">, the auditor would typically also identify a risk related to existence (e.g., recorded cash does not exist at a given date). For this risk, the auditor would typically list the cash balance class of transactions, which </w:t>
      </w:r>
      <w:r w:rsidR="000F74E7" w:rsidRPr="000A7FD1">
        <w:rPr>
          <w:rFonts w:ascii="Arial" w:hAnsi="Arial" w:cs="Arial"/>
          <w:sz w:val="22"/>
        </w:rPr>
        <w:t>consists of activities that support the period-end cash balance</w:t>
      </w:r>
      <w:r w:rsidRPr="000A7FD1">
        <w:rPr>
          <w:rFonts w:ascii="Arial" w:hAnsi="Arial" w:cs="Arial"/>
          <w:sz w:val="22"/>
        </w:rPr>
        <w:t xml:space="preserve">. Other risks for which the auditor might list the cash balance class of transactions include those </w:t>
      </w:r>
      <w:r w:rsidR="00535FD8" w:rsidRPr="000A7FD1">
        <w:rPr>
          <w:rFonts w:ascii="Arial" w:hAnsi="Arial" w:cs="Arial"/>
          <w:sz w:val="22"/>
        </w:rPr>
        <w:t xml:space="preserve">related to account completeness, accuracy, ownership, rights, presentation, consistency, </w:t>
      </w:r>
      <w:r w:rsidR="003A1ED2" w:rsidRPr="000A7FD1">
        <w:rPr>
          <w:rFonts w:ascii="Arial" w:hAnsi="Arial" w:cs="Arial"/>
          <w:sz w:val="22"/>
        </w:rPr>
        <w:t xml:space="preserve">and </w:t>
      </w:r>
      <w:r w:rsidR="00535FD8" w:rsidRPr="000A7FD1">
        <w:rPr>
          <w:rFonts w:ascii="Arial" w:hAnsi="Arial" w:cs="Arial"/>
          <w:sz w:val="22"/>
        </w:rPr>
        <w:t>disclosure</w:t>
      </w:r>
      <w:r w:rsidR="000F74E7" w:rsidRPr="000A7FD1">
        <w:rPr>
          <w:rFonts w:ascii="Arial" w:hAnsi="Arial" w:cs="Arial"/>
          <w:sz w:val="22"/>
        </w:rPr>
        <w:t xml:space="preserve">. </w:t>
      </w:r>
      <w:r w:rsidR="00AD372B" w:rsidRPr="000A7FD1">
        <w:rPr>
          <w:rFonts w:ascii="Arial" w:hAnsi="Arial" w:cs="Arial"/>
          <w:sz w:val="22"/>
        </w:rPr>
        <w:t xml:space="preserve">See FAM table 330.1 and FAM 395 A for additional guidance on the relationships between classes of transactions and line items. </w:t>
      </w:r>
      <w:r w:rsidR="000C46C1" w:rsidRPr="000A7FD1">
        <w:rPr>
          <w:rFonts w:ascii="Arial" w:hAnsi="Arial" w:cs="Arial"/>
          <w:sz w:val="22"/>
        </w:rPr>
        <w:t xml:space="preserve">If the LIRA </w:t>
      </w:r>
      <w:r w:rsidR="00DA3B17" w:rsidRPr="000A7FD1">
        <w:rPr>
          <w:rFonts w:ascii="Arial" w:hAnsi="Arial" w:cs="Arial"/>
          <w:sz w:val="22"/>
        </w:rPr>
        <w:t xml:space="preserve">form </w:t>
      </w:r>
      <w:r w:rsidR="000C46C1" w:rsidRPr="000A7FD1">
        <w:rPr>
          <w:rFonts w:ascii="Arial" w:hAnsi="Arial" w:cs="Arial"/>
          <w:sz w:val="22"/>
        </w:rPr>
        <w:t>is prepared for a class of transactions</w:t>
      </w:r>
      <w:r w:rsidR="00535FD8" w:rsidRPr="000A7FD1">
        <w:rPr>
          <w:rFonts w:ascii="Arial" w:hAnsi="Arial" w:cs="Arial"/>
          <w:sz w:val="22"/>
        </w:rPr>
        <w:t xml:space="preserve"> only</w:t>
      </w:r>
      <w:r w:rsidR="000C46C1" w:rsidRPr="000A7FD1">
        <w:rPr>
          <w:rFonts w:ascii="Arial" w:hAnsi="Arial" w:cs="Arial"/>
          <w:sz w:val="22"/>
        </w:rPr>
        <w:t xml:space="preserve">, the auditor may enter N/A in this column and include a reference to the </w:t>
      </w:r>
      <w:r w:rsidR="000F74E7" w:rsidRPr="000A7FD1">
        <w:rPr>
          <w:rFonts w:ascii="Arial" w:hAnsi="Arial" w:cs="Arial"/>
          <w:sz w:val="22"/>
        </w:rPr>
        <w:t xml:space="preserve">related </w:t>
      </w:r>
      <w:r w:rsidR="000C46C1" w:rsidRPr="000A7FD1">
        <w:rPr>
          <w:rFonts w:ascii="Arial" w:hAnsi="Arial" w:cs="Arial"/>
          <w:sz w:val="22"/>
        </w:rPr>
        <w:t xml:space="preserve">SCE </w:t>
      </w:r>
      <w:r w:rsidR="00DA3B17" w:rsidRPr="000A7FD1">
        <w:rPr>
          <w:rFonts w:ascii="Arial" w:hAnsi="Arial" w:cs="Arial"/>
          <w:sz w:val="22"/>
        </w:rPr>
        <w:t xml:space="preserve">worksheet </w:t>
      </w:r>
      <w:r w:rsidR="000C46C1" w:rsidRPr="000A7FD1">
        <w:rPr>
          <w:rFonts w:ascii="Arial" w:hAnsi="Arial" w:cs="Arial"/>
          <w:sz w:val="22"/>
        </w:rPr>
        <w:t>in the header of column 3.</w:t>
      </w:r>
    </w:p>
    <w:p w14:paraId="2B760BD2" w14:textId="090BEF2A" w:rsidR="00A24100" w:rsidRPr="000A7FD1" w:rsidRDefault="00A24100" w:rsidP="00A24100">
      <w:pPr>
        <w:pStyle w:val="FAM-Num-1"/>
        <w:ind w:left="1440"/>
        <w:rPr>
          <w:rFonts w:ascii="Arial" w:hAnsi="Arial" w:cs="Arial"/>
          <w:sz w:val="22"/>
        </w:rPr>
      </w:pPr>
      <w:r w:rsidRPr="000A7FD1">
        <w:rPr>
          <w:rFonts w:ascii="Arial" w:hAnsi="Arial" w:cs="Arial"/>
          <w:sz w:val="22"/>
        </w:rPr>
        <w:t>The following columns should be completed for each class of transactions that contributes to each identified risk.</w:t>
      </w:r>
    </w:p>
    <w:p w14:paraId="64CDB534" w14:textId="123C7388" w:rsidR="00A633A6" w:rsidRPr="000A7FD1" w:rsidRDefault="000A1064" w:rsidP="00C1559F">
      <w:pPr>
        <w:pStyle w:val="FAM-Num-1"/>
        <w:numPr>
          <w:ilvl w:val="0"/>
          <w:numId w:val="16"/>
        </w:numPr>
        <w:rPr>
          <w:rFonts w:ascii="Arial" w:hAnsi="Arial" w:cs="Arial"/>
          <w:b/>
          <w:bCs w:val="0"/>
          <w:sz w:val="22"/>
        </w:rPr>
      </w:pPr>
      <w:r w:rsidRPr="000A7FD1">
        <w:rPr>
          <w:rFonts w:ascii="Arial" w:hAnsi="Arial" w:cs="Arial"/>
          <w:sz w:val="22"/>
        </w:rPr>
        <w:t xml:space="preserve">In column 4, </w:t>
      </w:r>
      <w:r w:rsidR="007B1E69" w:rsidRPr="000A7FD1">
        <w:rPr>
          <w:rFonts w:ascii="Arial" w:hAnsi="Arial" w:cs="Arial"/>
          <w:sz w:val="22"/>
        </w:rPr>
        <w:t xml:space="preserve">summarize </w:t>
      </w:r>
      <w:r w:rsidRPr="000A7FD1">
        <w:rPr>
          <w:rFonts w:ascii="Arial" w:hAnsi="Arial" w:cs="Arial"/>
          <w:sz w:val="22"/>
        </w:rPr>
        <w:t xml:space="preserve">the </w:t>
      </w:r>
      <w:r w:rsidR="007B1E69" w:rsidRPr="000A7FD1">
        <w:rPr>
          <w:rFonts w:ascii="Arial" w:hAnsi="Arial" w:cs="Arial"/>
          <w:sz w:val="22"/>
        </w:rPr>
        <w:t>inherent risk considerations</w:t>
      </w:r>
      <w:r w:rsidR="00CE130C" w:rsidRPr="000A7FD1">
        <w:rPr>
          <w:rFonts w:ascii="Arial" w:hAnsi="Arial" w:cs="Arial"/>
          <w:sz w:val="22"/>
        </w:rPr>
        <w:t>, including fraud risk</w:t>
      </w:r>
      <w:r w:rsidR="008D5844" w:rsidRPr="000A7FD1">
        <w:rPr>
          <w:rFonts w:ascii="Arial" w:hAnsi="Arial" w:cs="Arial"/>
          <w:sz w:val="22"/>
        </w:rPr>
        <w:t xml:space="preserve"> and noncompliance</w:t>
      </w:r>
      <w:r w:rsidR="00CE130C" w:rsidRPr="000A7FD1">
        <w:rPr>
          <w:rFonts w:ascii="Arial" w:hAnsi="Arial" w:cs="Arial"/>
          <w:sz w:val="22"/>
        </w:rPr>
        <w:t xml:space="preserve"> considerations,</w:t>
      </w:r>
      <w:r w:rsidR="00555261" w:rsidRPr="000A7FD1">
        <w:rPr>
          <w:rFonts w:ascii="Arial" w:hAnsi="Arial" w:cs="Arial"/>
          <w:sz w:val="22"/>
        </w:rPr>
        <w:t xml:space="preserve"> that support the assessment of inherent risk</w:t>
      </w:r>
      <w:r w:rsidR="0077776D" w:rsidRPr="000A7FD1">
        <w:rPr>
          <w:rFonts w:ascii="Arial" w:hAnsi="Arial" w:cs="Arial"/>
          <w:sz w:val="22"/>
        </w:rPr>
        <w:t xml:space="preserve"> in column </w:t>
      </w:r>
      <w:r w:rsidRPr="000A7FD1">
        <w:rPr>
          <w:rFonts w:ascii="Arial" w:hAnsi="Arial" w:cs="Arial"/>
          <w:sz w:val="22"/>
        </w:rPr>
        <w:t>5</w:t>
      </w:r>
      <w:r w:rsidR="008D5844" w:rsidRPr="000A7FD1">
        <w:rPr>
          <w:rFonts w:ascii="Arial" w:hAnsi="Arial" w:cs="Arial"/>
          <w:sz w:val="22"/>
        </w:rPr>
        <w:t xml:space="preserve"> (see FAM 220)</w:t>
      </w:r>
      <w:r w:rsidR="000A3D51" w:rsidRPr="000A7FD1">
        <w:rPr>
          <w:rFonts w:ascii="Arial" w:hAnsi="Arial" w:cs="Arial"/>
          <w:sz w:val="22"/>
        </w:rPr>
        <w:t xml:space="preserve">. </w:t>
      </w:r>
      <w:r w:rsidR="00A633A6" w:rsidRPr="000A7FD1">
        <w:rPr>
          <w:rFonts w:ascii="Arial" w:hAnsi="Arial" w:cs="Arial"/>
          <w:sz w:val="22"/>
        </w:rPr>
        <w:t xml:space="preserve">For example, the auditor may assess </w:t>
      </w:r>
      <w:r w:rsidR="00A633A6" w:rsidRPr="000A7FD1">
        <w:rPr>
          <w:rFonts w:ascii="Arial" w:hAnsi="Arial" w:cs="Arial"/>
          <w:sz w:val="22"/>
        </w:rPr>
        <w:lastRenderedPageBreak/>
        <w:t xml:space="preserve">inherent risk at high for an identified risk in the valuation of the net receivables line item due to (1) the materiality of the receivables and potential allowance, (2) the subjectivity of management’s judgment related to the loss allowance, </w:t>
      </w:r>
      <w:r w:rsidR="00272FA7" w:rsidRPr="000A7FD1">
        <w:rPr>
          <w:rFonts w:ascii="Arial" w:hAnsi="Arial" w:cs="Arial"/>
          <w:sz w:val="22"/>
        </w:rPr>
        <w:t xml:space="preserve">or </w:t>
      </w:r>
      <w:r w:rsidR="00A633A6" w:rsidRPr="000A7FD1">
        <w:rPr>
          <w:rFonts w:ascii="Arial" w:hAnsi="Arial" w:cs="Arial"/>
          <w:sz w:val="22"/>
        </w:rPr>
        <w:t>(3) management’s history of aggressively challenging any proposed adjustments to the valuation of the receivables</w:t>
      </w:r>
      <w:r w:rsidR="00272FA7" w:rsidRPr="000A7FD1">
        <w:rPr>
          <w:rFonts w:ascii="Arial" w:hAnsi="Arial" w:cs="Arial"/>
          <w:sz w:val="22"/>
        </w:rPr>
        <w:t>.</w:t>
      </w:r>
      <w:r w:rsidR="00617685" w:rsidRPr="000A7FD1">
        <w:rPr>
          <w:rFonts w:ascii="Arial" w:hAnsi="Arial" w:cs="Arial"/>
          <w:sz w:val="22"/>
        </w:rPr>
        <w:t xml:space="preserve"> </w:t>
      </w:r>
    </w:p>
    <w:p w14:paraId="3D3CF15E" w14:textId="46EAA4FC" w:rsidR="00474122" w:rsidRPr="000A7FD1" w:rsidRDefault="00F16982" w:rsidP="00A633A6">
      <w:pPr>
        <w:pStyle w:val="FAM-Num-1"/>
        <w:ind w:left="1800"/>
        <w:rPr>
          <w:rFonts w:ascii="Arial" w:hAnsi="Arial" w:cs="Arial"/>
          <w:b/>
          <w:bCs w:val="0"/>
          <w:sz w:val="22"/>
        </w:rPr>
      </w:pPr>
      <w:r w:rsidRPr="000A7FD1">
        <w:rPr>
          <w:rFonts w:ascii="Arial" w:hAnsi="Arial" w:cs="Arial"/>
          <w:sz w:val="22"/>
        </w:rPr>
        <w:t>The auditor</w:t>
      </w:r>
      <w:r w:rsidR="006C1D50" w:rsidRPr="000A7FD1">
        <w:rPr>
          <w:rFonts w:ascii="Arial" w:hAnsi="Arial" w:cs="Arial"/>
          <w:sz w:val="22"/>
        </w:rPr>
        <w:t>’s considerations</w:t>
      </w:r>
      <w:r w:rsidRPr="000A7FD1">
        <w:rPr>
          <w:rFonts w:ascii="Arial" w:hAnsi="Arial" w:cs="Arial"/>
          <w:sz w:val="22"/>
        </w:rPr>
        <w:t xml:space="preserve"> </w:t>
      </w:r>
      <w:r w:rsidR="00A359F8" w:rsidRPr="000A7FD1">
        <w:rPr>
          <w:rFonts w:ascii="Arial" w:hAnsi="Arial" w:cs="Arial"/>
          <w:sz w:val="22"/>
        </w:rPr>
        <w:t>for a class of transaction</w:t>
      </w:r>
      <w:r w:rsidR="00F719BD" w:rsidRPr="000A7FD1">
        <w:rPr>
          <w:rFonts w:ascii="Arial" w:hAnsi="Arial" w:cs="Arial"/>
          <w:sz w:val="22"/>
        </w:rPr>
        <w:t>s</w:t>
      </w:r>
      <w:r w:rsidR="00A359F8" w:rsidRPr="000A7FD1">
        <w:rPr>
          <w:rFonts w:ascii="Arial" w:hAnsi="Arial" w:cs="Arial"/>
          <w:sz w:val="22"/>
        </w:rPr>
        <w:t xml:space="preserve"> may be documented on </w:t>
      </w:r>
      <w:r w:rsidR="00B23F43" w:rsidRPr="000A7FD1">
        <w:rPr>
          <w:rFonts w:ascii="Arial" w:hAnsi="Arial" w:cs="Arial"/>
          <w:sz w:val="22"/>
        </w:rPr>
        <w:t xml:space="preserve">multiple </w:t>
      </w:r>
      <w:r w:rsidR="00A359F8" w:rsidRPr="000A7FD1">
        <w:rPr>
          <w:rFonts w:ascii="Arial" w:hAnsi="Arial" w:cs="Arial"/>
          <w:sz w:val="22"/>
        </w:rPr>
        <w:t>LIRA</w:t>
      </w:r>
      <w:r w:rsidR="00DA3B17" w:rsidRPr="000A7FD1">
        <w:rPr>
          <w:rFonts w:ascii="Arial" w:hAnsi="Arial" w:cs="Arial"/>
          <w:sz w:val="22"/>
        </w:rPr>
        <w:t xml:space="preserve"> form</w:t>
      </w:r>
      <w:r w:rsidR="00B23F43" w:rsidRPr="000A7FD1">
        <w:rPr>
          <w:rFonts w:ascii="Arial" w:hAnsi="Arial" w:cs="Arial"/>
          <w:sz w:val="22"/>
        </w:rPr>
        <w:t>s</w:t>
      </w:r>
      <w:r w:rsidR="00A359F8" w:rsidRPr="000A7FD1">
        <w:rPr>
          <w:rFonts w:ascii="Arial" w:hAnsi="Arial" w:cs="Arial"/>
          <w:sz w:val="22"/>
        </w:rPr>
        <w:t xml:space="preserve">. In </w:t>
      </w:r>
      <w:r w:rsidR="005A24F8" w:rsidRPr="000A7FD1">
        <w:rPr>
          <w:rFonts w:ascii="Arial" w:hAnsi="Arial" w:cs="Arial"/>
          <w:sz w:val="22"/>
        </w:rPr>
        <w:t>these cases</w:t>
      </w:r>
      <w:r w:rsidR="00A359F8" w:rsidRPr="000A7FD1">
        <w:rPr>
          <w:rFonts w:ascii="Arial" w:hAnsi="Arial" w:cs="Arial"/>
          <w:sz w:val="22"/>
        </w:rPr>
        <w:t xml:space="preserve">, the considerations </w:t>
      </w:r>
      <w:r w:rsidR="006C1D50" w:rsidRPr="000A7FD1">
        <w:rPr>
          <w:rFonts w:ascii="Arial" w:hAnsi="Arial" w:cs="Arial"/>
          <w:sz w:val="22"/>
        </w:rPr>
        <w:t xml:space="preserve">should be consistent </w:t>
      </w:r>
      <w:r w:rsidR="008503A1" w:rsidRPr="000A7FD1">
        <w:rPr>
          <w:rFonts w:ascii="Arial" w:hAnsi="Arial" w:cs="Arial"/>
          <w:sz w:val="22"/>
        </w:rPr>
        <w:t xml:space="preserve">among </w:t>
      </w:r>
      <w:r w:rsidR="005A24F8" w:rsidRPr="000A7FD1">
        <w:rPr>
          <w:rFonts w:ascii="Arial" w:hAnsi="Arial" w:cs="Arial"/>
          <w:sz w:val="22"/>
        </w:rPr>
        <w:t xml:space="preserve">the </w:t>
      </w:r>
      <w:r w:rsidR="008503A1" w:rsidRPr="000A7FD1">
        <w:rPr>
          <w:rFonts w:ascii="Arial" w:hAnsi="Arial" w:cs="Arial"/>
          <w:sz w:val="22"/>
        </w:rPr>
        <w:t>multiple</w:t>
      </w:r>
      <w:r w:rsidR="005A24F8" w:rsidRPr="000A7FD1">
        <w:rPr>
          <w:rFonts w:ascii="Arial" w:hAnsi="Arial" w:cs="Arial"/>
          <w:sz w:val="22"/>
        </w:rPr>
        <w:t xml:space="preserve"> LIRA</w:t>
      </w:r>
      <w:r w:rsidR="00DA3B17" w:rsidRPr="000A7FD1">
        <w:rPr>
          <w:rFonts w:ascii="Arial" w:hAnsi="Arial" w:cs="Arial"/>
          <w:sz w:val="22"/>
        </w:rPr>
        <w:t xml:space="preserve"> form</w:t>
      </w:r>
      <w:r w:rsidR="008503A1" w:rsidRPr="000A7FD1">
        <w:rPr>
          <w:rFonts w:ascii="Arial" w:hAnsi="Arial" w:cs="Arial"/>
          <w:sz w:val="22"/>
        </w:rPr>
        <w:t>s</w:t>
      </w:r>
      <w:r w:rsidR="005A24F8" w:rsidRPr="000A7FD1">
        <w:rPr>
          <w:rFonts w:ascii="Arial" w:hAnsi="Arial" w:cs="Arial"/>
          <w:sz w:val="22"/>
        </w:rPr>
        <w:t xml:space="preserve">. </w:t>
      </w:r>
      <w:r w:rsidRPr="000A7FD1">
        <w:rPr>
          <w:rFonts w:ascii="Arial" w:hAnsi="Arial" w:cs="Arial"/>
          <w:sz w:val="22"/>
        </w:rPr>
        <w:t xml:space="preserve">For example, </w:t>
      </w:r>
      <w:r w:rsidR="00A359F8" w:rsidRPr="000A7FD1">
        <w:rPr>
          <w:rFonts w:ascii="Arial" w:hAnsi="Arial" w:cs="Arial"/>
          <w:sz w:val="22"/>
        </w:rPr>
        <w:t xml:space="preserve">the auditor may identify </w:t>
      </w:r>
      <w:r w:rsidR="008F0666" w:rsidRPr="000A7FD1">
        <w:rPr>
          <w:rFonts w:ascii="Arial" w:hAnsi="Arial" w:cs="Arial"/>
          <w:sz w:val="22"/>
        </w:rPr>
        <w:t xml:space="preserve">cash receipts </w:t>
      </w:r>
      <w:r w:rsidR="005A24F8" w:rsidRPr="000A7FD1">
        <w:rPr>
          <w:rFonts w:ascii="Arial" w:hAnsi="Arial" w:cs="Arial"/>
          <w:sz w:val="22"/>
        </w:rPr>
        <w:t xml:space="preserve">as a </w:t>
      </w:r>
      <w:r w:rsidR="008F0666" w:rsidRPr="000A7FD1">
        <w:rPr>
          <w:rFonts w:ascii="Arial" w:hAnsi="Arial" w:cs="Arial"/>
          <w:sz w:val="22"/>
        </w:rPr>
        <w:t xml:space="preserve">class of transactions </w:t>
      </w:r>
      <w:r w:rsidR="005A24F8" w:rsidRPr="000A7FD1">
        <w:rPr>
          <w:rFonts w:ascii="Arial" w:hAnsi="Arial" w:cs="Arial"/>
          <w:sz w:val="22"/>
        </w:rPr>
        <w:t>that contributes to a risk related to</w:t>
      </w:r>
      <w:r w:rsidR="00A359F8" w:rsidRPr="000A7FD1">
        <w:rPr>
          <w:rFonts w:ascii="Arial" w:hAnsi="Arial" w:cs="Arial"/>
          <w:sz w:val="22"/>
        </w:rPr>
        <w:t xml:space="preserve"> occurrence/validity </w:t>
      </w:r>
      <w:r w:rsidR="009F1C6F" w:rsidRPr="000A7FD1">
        <w:rPr>
          <w:rFonts w:ascii="Arial" w:hAnsi="Arial" w:cs="Arial"/>
          <w:sz w:val="22"/>
        </w:rPr>
        <w:t>o</w:t>
      </w:r>
      <w:r w:rsidR="008F0666" w:rsidRPr="000A7FD1">
        <w:rPr>
          <w:rFonts w:ascii="Arial" w:hAnsi="Arial" w:cs="Arial"/>
          <w:sz w:val="22"/>
        </w:rPr>
        <w:t>n the cash LIRA</w:t>
      </w:r>
      <w:r w:rsidR="00DA3B17" w:rsidRPr="000A7FD1">
        <w:rPr>
          <w:rFonts w:ascii="Arial" w:hAnsi="Arial" w:cs="Arial"/>
          <w:sz w:val="22"/>
        </w:rPr>
        <w:t xml:space="preserve"> form</w:t>
      </w:r>
      <w:r w:rsidR="00227298" w:rsidRPr="000A7FD1">
        <w:rPr>
          <w:rFonts w:ascii="Arial" w:hAnsi="Arial" w:cs="Arial"/>
          <w:sz w:val="22"/>
        </w:rPr>
        <w:t xml:space="preserve">. </w:t>
      </w:r>
      <w:r w:rsidR="005A24F8" w:rsidRPr="000A7FD1">
        <w:rPr>
          <w:rFonts w:ascii="Arial" w:hAnsi="Arial" w:cs="Arial"/>
          <w:sz w:val="22"/>
        </w:rPr>
        <w:t xml:space="preserve">Since the receipt of cash usually result in a debit to cash and </w:t>
      </w:r>
      <w:r w:rsidR="00251377" w:rsidRPr="000A7FD1">
        <w:rPr>
          <w:rFonts w:ascii="Arial" w:hAnsi="Arial" w:cs="Arial"/>
          <w:sz w:val="22"/>
        </w:rPr>
        <w:t xml:space="preserve">a </w:t>
      </w:r>
      <w:r w:rsidR="005A24F8" w:rsidRPr="000A7FD1">
        <w:rPr>
          <w:rFonts w:ascii="Arial" w:hAnsi="Arial" w:cs="Arial"/>
          <w:sz w:val="22"/>
        </w:rPr>
        <w:t>credit to revenue</w:t>
      </w:r>
      <w:r w:rsidR="00F719BD" w:rsidRPr="000A7FD1">
        <w:rPr>
          <w:rFonts w:ascii="Arial" w:hAnsi="Arial" w:cs="Arial"/>
          <w:sz w:val="22"/>
        </w:rPr>
        <w:t xml:space="preserve"> or accounts receivable</w:t>
      </w:r>
      <w:r w:rsidR="005A24F8" w:rsidRPr="000A7FD1">
        <w:rPr>
          <w:rFonts w:ascii="Arial" w:hAnsi="Arial" w:cs="Arial"/>
          <w:sz w:val="22"/>
        </w:rPr>
        <w:t>, t</w:t>
      </w:r>
      <w:r w:rsidRPr="000A7FD1">
        <w:rPr>
          <w:rFonts w:ascii="Arial" w:hAnsi="Arial" w:cs="Arial"/>
          <w:sz w:val="22"/>
        </w:rPr>
        <w:t>he auditor</w:t>
      </w:r>
      <w:r w:rsidR="008F0666" w:rsidRPr="000A7FD1">
        <w:rPr>
          <w:rFonts w:ascii="Arial" w:hAnsi="Arial" w:cs="Arial"/>
          <w:sz w:val="22"/>
        </w:rPr>
        <w:t xml:space="preserve">’s considerations </w:t>
      </w:r>
      <w:r w:rsidR="005A24F8" w:rsidRPr="000A7FD1">
        <w:rPr>
          <w:rFonts w:ascii="Arial" w:hAnsi="Arial" w:cs="Arial"/>
          <w:sz w:val="22"/>
        </w:rPr>
        <w:t xml:space="preserve">for cash receipts on the cash LIRA </w:t>
      </w:r>
      <w:r w:rsidR="00DA3B17" w:rsidRPr="000A7FD1">
        <w:rPr>
          <w:rFonts w:ascii="Arial" w:hAnsi="Arial" w:cs="Arial"/>
          <w:sz w:val="22"/>
        </w:rPr>
        <w:t xml:space="preserve">form </w:t>
      </w:r>
      <w:r w:rsidR="008F0666" w:rsidRPr="000A7FD1">
        <w:rPr>
          <w:rFonts w:ascii="Arial" w:hAnsi="Arial" w:cs="Arial"/>
          <w:sz w:val="22"/>
        </w:rPr>
        <w:t>should be consistent with those</w:t>
      </w:r>
      <w:r w:rsidR="009D403F" w:rsidRPr="000A7FD1">
        <w:rPr>
          <w:rFonts w:ascii="Arial" w:hAnsi="Arial" w:cs="Arial"/>
          <w:sz w:val="22"/>
        </w:rPr>
        <w:t xml:space="preserve"> documented </w:t>
      </w:r>
      <w:r w:rsidR="009F1C6F" w:rsidRPr="000A7FD1">
        <w:rPr>
          <w:rFonts w:ascii="Arial" w:hAnsi="Arial" w:cs="Arial"/>
          <w:sz w:val="22"/>
        </w:rPr>
        <w:t>for cash receipts on</w:t>
      </w:r>
      <w:r w:rsidR="009D403F" w:rsidRPr="000A7FD1">
        <w:rPr>
          <w:rFonts w:ascii="Arial" w:hAnsi="Arial" w:cs="Arial"/>
          <w:sz w:val="22"/>
        </w:rPr>
        <w:t xml:space="preserve"> </w:t>
      </w:r>
      <w:r w:rsidRPr="000A7FD1">
        <w:rPr>
          <w:rFonts w:ascii="Arial" w:hAnsi="Arial" w:cs="Arial"/>
          <w:sz w:val="22"/>
        </w:rPr>
        <w:t>the revenue LIRA</w:t>
      </w:r>
      <w:r w:rsidR="00F719BD" w:rsidRPr="000A7FD1">
        <w:rPr>
          <w:rFonts w:ascii="Arial" w:hAnsi="Arial" w:cs="Arial"/>
          <w:sz w:val="22"/>
        </w:rPr>
        <w:t xml:space="preserve"> </w:t>
      </w:r>
      <w:r w:rsidR="00DA3B17" w:rsidRPr="000A7FD1">
        <w:rPr>
          <w:rFonts w:ascii="Arial" w:hAnsi="Arial" w:cs="Arial"/>
          <w:sz w:val="22"/>
        </w:rPr>
        <w:t xml:space="preserve">form </w:t>
      </w:r>
      <w:r w:rsidR="00F719BD" w:rsidRPr="000A7FD1">
        <w:rPr>
          <w:rFonts w:ascii="Arial" w:hAnsi="Arial" w:cs="Arial"/>
          <w:sz w:val="22"/>
        </w:rPr>
        <w:t>or accounts receivable LIRA</w:t>
      </w:r>
      <w:r w:rsidR="00DA3B17" w:rsidRPr="000A7FD1">
        <w:rPr>
          <w:rFonts w:ascii="Arial" w:hAnsi="Arial" w:cs="Arial"/>
          <w:sz w:val="22"/>
        </w:rPr>
        <w:t xml:space="preserve"> form</w:t>
      </w:r>
      <w:r w:rsidRPr="000A7FD1">
        <w:rPr>
          <w:rFonts w:ascii="Arial" w:hAnsi="Arial" w:cs="Arial"/>
          <w:sz w:val="22"/>
        </w:rPr>
        <w:t>.</w:t>
      </w:r>
      <w:r w:rsidR="00066248" w:rsidRPr="000A7FD1">
        <w:rPr>
          <w:rFonts w:ascii="Arial" w:hAnsi="Arial" w:cs="Arial"/>
          <w:sz w:val="22"/>
        </w:rPr>
        <w:t xml:space="preserve"> </w:t>
      </w:r>
    </w:p>
    <w:p w14:paraId="20B01C11" w14:textId="62BB598B" w:rsidR="000A3D51" w:rsidRPr="000A7FD1" w:rsidRDefault="000A3D51" w:rsidP="00C1559F">
      <w:pPr>
        <w:pStyle w:val="FAM-Num-1"/>
        <w:numPr>
          <w:ilvl w:val="0"/>
          <w:numId w:val="16"/>
        </w:numPr>
        <w:rPr>
          <w:rFonts w:ascii="Arial" w:hAnsi="Arial" w:cs="Arial"/>
          <w:b/>
          <w:bCs w:val="0"/>
          <w:sz w:val="22"/>
        </w:rPr>
      </w:pPr>
      <w:r w:rsidRPr="000A7FD1">
        <w:rPr>
          <w:rFonts w:ascii="Arial" w:hAnsi="Arial" w:cs="Arial"/>
          <w:sz w:val="22"/>
        </w:rPr>
        <w:t xml:space="preserve">In column </w:t>
      </w:r>
      <w:r w:rsidR="000A1064" w:rsidRPr="000A7FD1">
        <w:rPr>
          <w:rFonts w:ascii="Arial" w:hAnsi="Arial" w:cs="Arial"/>
          <w:sz w:val="22"/>
        </w:rPr>
        <w:t>5</w:t>
      </w:r>
      <w:r w:rsidRPr="000A7FD1">
        <w:rPr>
          <w:rFonts w:ascii="Arial" w:hAnsi="Arial" w:cs="Arial"/>
          <w:sz w:val="22"/>
        </w:rPr>
        <w:t>, indicate</w:t>
      </w:r>
      <w:r w:rsidR="00E1113F" w:rsidRPr="000A7FD1">
        <w:rPr>
          <w:rFonts w:ascii="Arial" w:hAnsi="Arial" w:cs="Arial"/>
          <w:sz w:val="22"/>
        </w:rPr>
        <w:t xml:space="preserve"> whether</w:t>
      </w:r>
      <w:r w:rsidRPr="000A7FD1">
        <w:rPr>
          <w:rFonts w:ascii="Arial" w:hAnsi="Arial" w:cs="Arial"/>
          <w:sz w:val="22"/>
        </w:rPr>
        <w:t xml:space="preserve"> the</w:t>
      </w:r>
      <w:r w:rsidR="00E1113F" w:rsidRPr="000A7FD1">
        <w:rPr>
          <w:rFonts w:ascii="Arial" w:hAnsi="Arial" w:cs="Arial"/>
          <w:sz w:val="22"/>
        </w:rPr>
        <w:t xml:space="preserve"> assessment of</w:t>
      </w:r>
      <w:r w:rsidRPr="000A7FD1">
        <w:rPr>
          <w:rFonts w:ascii="Arial" w:hAnsi="Arial" w:cs="Arial"/>
          <w:sz w:val="22"/>
        </w:rPr>
        <w:t xml:space="preserve"> inherent risk</w:t>
      </w:r>
      <w:r w:rsidR="00E1113F" w:rsidRPr="000A7FD1">
        <w:rPr>
          <w:rFonts w:ascii="Arial" w:hAnsi="Arial" w:cs="Arial"/>
          <w:sz w:val="22"/>
        </w:rPr>
        <w:t xml:space="preserve"> is</w:t>
      </w:r>
      <w:r w:rsidRPr="000A7FD1">
        <w:rPr>
          <w:rFonts w:ascii="Arial" w:hAnsi="Arial" w:cs="Arial"/>
          <w:sz w:val="22"/>
        </w:rPr>
        <w:t xml:space="preserve"> remote, low, moderate, </w:t>
      </w:r>
      <w:r w:rsidR="00E1113F" w:rsidRPr="000A7FD1">
        <w:rPr>
          <w:rFonts w:ascii="Arial" w:hAnsi="Arial" w:cs="Arial"/>
          <w:sz w:val="22"/>
        </w:rPr>
        <w:t xml:space="preserve">or </w:t>
      </w:r>
      <w:r w:rsidRPr="000A7FD1">
        <w:rPr>
          <w:rFonts w:ascii="Arial" w:hAnsi="Arial" w:cs="Arial"/>
          <w:sz w:val="22"/>
        </w:rPr>
        <w:t>high</w:t>
      </w:r>
      <w:r w:rsidR="00D37979" w:rsidRPr="000A7FD1">
        <w:rPr>
          <w:rFonts w:ascii="Arial" w:hAnsi="Arial" w:cs="Arial"/>
          <w:sz w:val="22"/>
        </w:rPr>
        <w:t xml:space="preserve"> </w:t>
      </w:r>
      <w:r w:rsidR="00DA7A3C" w:rsidRPr="000A7FD1">
        <w:rPr>
          <w:rFonts w:ascii="Arial" w:hAnsi="Arial" w:cs="Arial"/>
          <w:sz w:val="22"/>
        </w:rPr>
        <w:t>(see FAM 26</w:t>
      </w:r>
      <w:r w:rsidR="00CE130C" w:rsidRPr="000A7FD1">
        <w:rPr>
          <w:rFonts w:ascii="Arial" w:hAnsi="Arial" w:cs="Arial"/>
          <w:sz w:val="22"/>
        </w:rPr>
        <w:t>5</w:t>
      </w:r>
      <w:r w:rsidR="00DA7A3C" w:rsidRPr="000A7FD1">
        <w:rPr>
          <w:rFonts w:ascii="Arial" w:hAnsi="Arial" w:cs="Arial"/>
          <w:sz w:val="22"/>
        </w:rPr>
        <w:t>.</w:t>
      </w:r>
      <w:r w:rsidR="00CE130C" w:rsidRPr="000A7FD1">
        <w:rPr>
          <w:rFonts w:ascii="Arial" w:hAnsi="Arial" w:cs="Arial"/>
          <w:sz w:val="22"/>
        </w:rPr>
        <w:t>23</w:t>
      </w:r>
      <w:r w:rsidR="00DA7A3C" w:rsidRPr="000A7FD1">
        <w:rPr>
          <w:rFonts w:ascii="Arial" w:hAnsi="Arial" w:cs="Arial"/>
          <w:sz w:val="22"/>
        </w:rPr>
        <w:t>)</w:t>
      </w:r>
      <w:r w:rsidRPr="000A7FD1">
        <w:rPr>
          <w:rFonts w:ascii="Arial" w:hAnsi="Arial" w:cs="Arial"/>
          <w:sz w:val="22"/>
        </w:rPr>
        <w:t xml:space="preserve">. </w:t>
      </w:r>
      <w:r w:rsidR="00251377" w:rsidRPr="000A7FD1">
        <w:rPr>
          <w:rFonts w:ascii="Arial" w:hAnsi="Arial" w:cs="Arial"/>
          <w:sz w:val="22"/>
        </w:rPr>
        <w:t>As in</w:t>
      </w:r>
      <w:r w:rsidR="006C1D50" w:rsidRPr="000A7FD1">
        <w:rPr>
          <w:rFonts w:ascii="Arial" w:hAnsi="Arial" w:cs="Arial"/>
          <w:sz w:val="22"/>
        </w:rPr>
        <w:t xml:space="preserve"> column 4, t</w:t>
      </w:r>
      <w:r w:rsidR="00F16982" w:rsidRPr="000A7FD1">
        <w:rPr>
          <w:rFonts w:ascii="Arial" w:hAnsi="Arial" w:cs="Arial"/>
          <w:sz w:val="22"/>
        </w:rPr>
        <w:t>his may be based</w:t>
      </w:r>
      <w:r w:rsidR="00227298" w:rsidRPr="000A7FD1">
        <w:rPr>
          <w:rFonts w:ascii="Arial" w:hAnsi="Arial" w:cs="Arial"/>
          <w:sz w:val="22"/>
        </w:rPr>
        <w:t xml:space="preserve"> on</w:t>
      </w:r>
      <w:r w:rsidR="00F16982" w:rsidRPr="000A7FD1">
        <w:rPr>
          <w:rFonts w:ascii="Arial" w:hAnsi="Arial" w:cs="Arial"/>
          <w:sz w:val="22"/>
        </w:rPr>
        <w:t xml:space="preserve"> </w:t>
      </w:r>
      <w:r w:rsidR="00227298" w:rsidRPr="000A7FD1">
        <w:rPr>
          <w:rFonts w:ascii="Arial" w:hAnsi="Arial" w:cs="Arial"/>
          <w:sz w:val="22"/>
        </w:rPr>
        <w:t xml:space="preserve">and should be consistent with </w:t>
      </w:r>
      <w:r w:rsidR="00F16982" w:rsidRPr="000A7FD1">
        <w:rPr>
          <w:rFonts w:ascii="Arial" w:hAnsi="Arial" w:cs="Arial"/>
          <w:sz w:val="22"/>
        </w:rPr>
        <w:t xml:space="preserve">the inherent risk assessments for other line items affected by the </w:t>
      </w:r>
      <w:r w:rsidR="00227298" w:rsidRPr="000A7FD1">
        <w:rPr>
          <w:rFonts w:ascii="Arial" w:hAnsi="Arial" w:cs="Arial"/>
          <w:sz w:val="22"/>
        </w:rPr>
        <w:t xml:space="preserve">same </w:t>
      </w:r>
      <w:r w:rsidR="00F16982" w:rsidRPr="000A7FD1">
        <w:rPr>
          <w:rFonts w:ascii="Arial" w:hAnsi="Arial" w:cs="Arial"/>
          <w:sz w:val="22"/>
        </w:rPr>
        <w:t xml:space="preserve">class of transactions. </w:t>
      </w:r>
      <w:r w:rsidR="00CE130C" w:rsidRPr="000A7FD1">
        <w:rPr>
          <w:rFonts w:ascii="Arial" w:hAnsi="Arial" w:cs="Arial"/>
          <w:sz w:val="22"/>
        </w:rPr>
        <w:t>If</w:t>
      </w:r>
      <w:r w:rsidR="00DA7A3C" w:rsidRPr="000A7FD1">
        <w:rPr>
          <w:rFonts w:ascii="Arial" w:hAnsi="Arial" w:cs="Arial"/>
          <w:sz w:val="22"/>
        </w:rPr>
        <w:t xml:space="preserve"> the auditor assesses inherent risk at remote, </w:t>
      </w:r>
      <w:r w:rsidR="00EA5239" w:rsidRPr="000A7FD1">
        <w:rPr>
          <w:rFonts w:ascii="Arial" w:hAnsi="Arial" w:cs="Arial"/>
          <w:sz w:val="22"/>
        </w:rPr>
        <w:t xml:space="preserve">the auditor </w:t>
      </w:r>
      <w:r w:rsidR="00DA7A3C" w:rsidRPr="000A7FD1">
        <w:rPr>
          <w:rFonts w:ascii="Arial" w:hAnsi="Arial" w:cs="Arial"/>
          <w:sz w:val="22"/>
        </w:rPr>
        <w:t>does not need</w:t>
      </w:r>
      <w:r w:rsidR="00EA5239" w:rsidRPr="000A7FD1">
        <w:rPr>
          <w:rFonts w:ascii="Arial" w:hAnsi="Arial" w:cs="Arial"/>
          <w:sz w:val="22"/>
        </w:rPr>
        <w:t xml:space="preserve"> to perform further audit procedures to address </w:t>
      </w:r>
      <w:r w:rsidR="0031769C" w:rsidRPr="000A7FD1">
        <w:rPr>
          <w:rFonts w:ascii="Arial" w:hAnsi="Arial" w:cs="Arial"/>
          <w:sz w:val="22"/>
        </w:rPr>
        <w:t xml:space="preserve">the </w:t>
      </w:r>
      <w:r w:rsidR="00DA7A3C" w:rsidRPr="000A7FD1">
        <w:rPr>
          <w:rFonts w:ascii="Arial" w:hAnsi="Arial" w:cs="Arial"/>
          <w:sz w:val="22"/>
        </w:rPr>
        <w:t>risk</w:t>
      </w:r>
      <w:r w:rsidR="00EA5239" w:rsidRPr="000A7FD1">
        <w:rPr>
          <w:rFonts w:ascii="Arial" w:hAnsi="Arial" w:cs="Arial"/>
          <w:sz w:val="22"/>
        </w:rPr>
        <w:t>.</w:t>
      </w:r>
      <w:r w:rsidR="00DA7A3C" w:rsidRPr="000A7FD1">
        <w:rPr>
          <w:rFonts w:ascii="Arial" w:hAnsi="Arial" w:cs="Arial"/>
          <w:sz w:val="22"/>
        </w:rPr>
        <w:t xml:space="preserve"> In these cases, the auditor should</w:t>
      </w:r>
      <w:r w:rsidR="00CD1A22" w:rsidRPr="000A7FD1">
        <w:rPr>
          <w:rFonts w:ascii="Arial" w:hAnsi="Arial" w:cs="Arial"/>
          <w:sz w:val="22"/>
        </w:rPr>
        <w:t xml:space="preserve"> </w:t>
      </w:r>
      <w:r w:rsidR="00DB470A" w:rsidRPr="000A7FD1">
        <w:rPr>
          <w:rFonts w:ascii="Arial" w:hAnsi="Arial" w:cs="Arial"/>
          <w:sz w:val="22"/>
        </w:rPr>
        <w:t>enter</w:t>
      </w:r>
      <w:r w:rsidR="00CD1A22" w:rsidRPr="000A7FD1">
        <w:rPr>
          <w:rFonts w:ascii="Arial" w:hAnsi="Arial" w:cs="Arial"/>
          <w:sz w:val="22"/>
        </w:rPr>
        <w:t xml:space="preserve"> N/A in </w:t>
      </w:r>
      <w:r w:rsidR="00DB470A" w:rsidRPr="000A7FD1">
        <w:rPr>
          <w:rFonts w:ascii="Arial" w:hAnsi="Arial" w:cs="Arial"/>
          <w:sz w:val="22"/>
        </w:rPr>
        <w:t xml:space="preserve">columns </w:t>
      </w:r>
      <w:r w:rsidR="000C46C1" w:rsidRPr="000A7FD1">
        <w:rPr>
          <w:rFonts w:ascii="Arial" w:hAnsi="Arial" w:cs="Arial"/>
          <w:sz w:val="22"/>
        </w:rPr>
        <w:t>6</w:t>
      </w:r>
      <w:r w:rsidR="00DA7A3C" w:rsidRPr="000A7FD1">
        <w:rPr>
          <w:rFonts w:ascii="Arial" w:hAnsi="Arial" w:cs="Arial"/>
          <w:sz w:val="22"/>
        </w:rPr>
        <w:t xml:space="preserve"> through </w:t>
      </w:r>
      <w:r w:rsidR="00DB470A" w:rsidRPr="000A7FD1">
        <w:rPr>
          <w:rFonts w:ascii="Arial" w:hAnsi="Arial" w:cs="Arial"/>
          <w:sz w:val="22"/>
        </w:rPr>
        <w:t>1</w:t>
      </w:r>
      <w:r w:rsidR="000C46C1" w:rsidRPr="000A7FD1">
        <w:rPr>
          <w:rFonts w:ascii="Arial" w:hAnsi="Arial" w:cs="Arial"/>
          <w:sz w:val="22"/>
        </w:rPr>
        <w:t>0</w:t>
      </w:r>
      <w:r w:rsidR="00E3653B" w:rsidRPr="000A7FD1">
        <w:rPr>
          <w:rFonts w:ascii="Arial" w:hAnsi="Arial" w:cs="Arial"/>
          <w:sz w:val="22"/>
        </w:rPr>
        <w:t>.</w:t>
      </w:r>
      <w:r w:rsidR="009C518B" w:rsidRPr="000A7FD1">
        <w:rPr>
          <w:rFonts w:ascii="Arial" w:hAnsi="Arial" w:cs="Arial"/>
          <w:sz w:val="22"/>
        </w:rPr>
        <w:t xml:space="preserve"> The auditor should continue to complete the LIRA </w:t>
      </w:r>
      <w:r w:rsidR="005857B1" w:rsidRPr="000A7FD1">
        <w:rPr>
          <w:rFonts w:ascii="Arial" w:hAnsi="Arial" w:cs="Arial"/>
          <w:sz w:val="22"/>
        </w:rPr>
        <w:t xml:space="preserve">form </w:t>
      </w:r>
      <w:r w:rsidR="009C518B" w:rsidRPr="000A7FD1">
        <w:rPr>
          <w:rFonts w:ascii="Arial" w:hAnsi="Arial" w:cs="Arial"/>
          <w:sz w:val="22"/>
        </w:rPr>
        <w:t xml:space="preserve">for the </w:t>
      </w:r>
      <w:r w:rsidR="000C46C1" w:rsidRPr="000A7FD1">
        <w:rPr>
          <w:rFonts w:ascii="Arial" w:hAnsi="Arial" w:cs="Arial"/>
          <w:sz w:val="22"/>
        </w:rPr>
        <w:t xml:space="preserve">identified </w:t>
      </w:r>
      <w:r w:rsidR="009C518B" w:rsidRPr="000A7FD1">
        <w:rPr>
          <w:rFonts w:ascii="Arial" w:hAnsi="Arial" w:cs="Arial"/>
          <w:sz w:val="22"/>
        </w:rPr>
        <w:t>risks for which inherent risk is assessed at low, moderate, or high.</w:t>
      </w:r>
      <w:r w:rsidR="00680B03" w:rsidRPr="000A7FD1">
        <w:rPr>
          <w:rFonts w:ascii="Arial" w:hAnsi="Arial" w:cs="Arial"/>
          <w:sz w:val="22"/>
        </w:rPr>
        <w:t xml:space="preserve"> As discussed in FAM 265</w:t>
      </w:r>
      <w:r w:rsidR="00260B04" w:rsidRPr="000A7FD1">
        <w:rPr>
          <w:rFonts w:ascii="Arial" w:hAnsi="Arial" w:cs="Arial"/>
          <w:sz w:val="22"/>
        </w:rPr>
        <w:t>.26</w:t>
      </w:r>
      <w:r w:rsidR="00680B03" w:rsidRPr="000A7FD1">
        <w:rPr>
          <w:rFonts w:ascii="Arial" w:hAnsi="Arial" w:cs="Arial"/>
          <w:sz w:val="22"/>
        </w:rPr>
        <w:t xml:space="preserve">, </w:t>
      </w:r>
      <w:r w:rsidR="00260B04" w:rsidRPr="000A7FD1">
        <w:rPr>
          <w:rFonts w:ascii="Arial" w:hAnsi="Arial" w:cs="Arial"/>
          <w:sz w:val="22"/>
        </w:rPr>
        <w:t xml:space="preserve">in rare circumstances in which the auditor assessed all identified risks at remote for a material line item, account, note disclosure, or class of transactions, </w:t>
      </w:r>
      <w:r w:rsidR="00680B03" w:rsidRPr="000A7FD1">
        <w:rPr>
          <w:rFonts w:ascii="Arial" w:hAnsi="Arial" w:cs="Arial"/>
          <w:sz w:val="22"/>
        </w:rPr>
        <w:t xml:space="preserve">the auditor should </w:t>
      </w:r>
      <w:r w:rsidR="00260B04" w:rsidRPr="000A7FD1">
        <w:rPr>
          <w:rFonts w:ascii="Arial" w:hAnsi="Arial" w:cs="Arial"/>
          <w:sz w:val="22"/>
        </w:rPr>
        <w:t xml:space="preserve">nonetheless </w:t>
      </w:r>
      <w:r w:rsidR="00680B03" w:rsidRPr="000A7FD1">
        <w:rPr>
          <w:rFonts w:ascii="Arial" w:hAnsi="Arial" w:cs="Arial"/>
          <w:sz w:val="22"/>
        </w:rPr>
        <w:t xml:space="preserve">perform substantive </w:t>
      </w:r>
      <w:r w:rsidR="00260B04" w:rsidRPr="000A7FD1">
        <w:rPr>
          <w:rFonts w:ascii="Arial" w:hAnsi="Arial" w:cs="Arial"/>
          <w:sz w:val="22"/>
        </w:rPr>
        <w:t xml:space="preserve">procedures </w:t>
      </w:r>
      <w:r w:rsidR="00680B03" w:rsidRPr="000A7FD1">
        <w:rPr>
          <w:rFonts w:ascii="Arial" w:hAnsi="Arial" w:cs="Arial"/>
          <w:sz w:val="22"/>
        </w:rPr>
        <w:t xml:space="preserve">for </w:t>
      </w:r>
      <w:r w:rsidR="00260B04" w:rsidRPr="000A7FD1">
        <w:rPr>
          <w:rFonts w:ascii="Arial" w:hAnsi="Arial" w:cs="Arial"/>
          <w:sz w:val="22"/>
        </w:rPr>
        <w:t>that</w:t>
      </w:r>
      <w:r w:rsidR="00680B03" w:rsidRPr="000A7FD1">
        <w:rPr>
          <w:rFonts w:ascii="Arial" w:hAnsi="Arial" w:cs="Arial"/>
          <w:sz w:val="22"/>
        </w:rPr>
        <w:t xml:space="preserve"> line item, account, note disclosure</w:t>
      </w:r>
      <w:r w:rsidR="000C46C1" w:rsidRPr="000A7FD1">
        <w:rPr>
          <w:rFonts w:ascii="Arial" w:hAnsi="Arial" w:cs="Arial"/>
          <w:sz w:val="22"/>
        </w:rPr>
        <w:t xml:space="preserve">, </w:t>
      </w:r>
      <w:r w:rsidR="00260B04" w:rsidRPr="000A7FD1">
        <w:rPr>
          <w:rFonts w:ascii="Arial" w:hAnsi="Arial" w:cs="Arial"/>
          <w:sz w:val="22"/>
        </w:rPr>
        <w:t>or</w:t>
      </w:r>
      <w:r w:rsidR="000C46C1" w:rsidRPr="000A7FD1">
        <w:rPr>
          <w:rFonts w:ascii="Arial" w:hAnsi="Arial" w:cs="Arial"/>
          <w:sz w:val="22"/>
        </w:rPr>
        <w:t xml:space="preserve"> class of transactions</w:t>
      </w:r>
      <w:r w:rsidR="00680B03" w:rsidRPr="000A7FD1">
        <w:rPr>
          <w:rFonts w:ascii="Arial" w:hAnsi="Arial" w:cs="Arial"/>
          <w:sz w:val="22"/>
        </w:rPr>
        <w:t>.</w:t>
      </w:r>
      <w:r w:rsidR="00260B04" w:rsidRPr="000A7FD1">
        <w:rPr>
          <w:rFonts w:ascii="Arial" w:hAnsi="Arial" w:cs="Arial"/>
          <w:sz w:val="22"/>
        </w:rPr>
        <w:t xml:space="preserve"> Additionally, the auditor should perform control tests, as appropriate, if the auditor is providing an opinion on internal control.</w:t>
      </w:r>
    </w:p>
    <w:p w14:paraId="1180188E" w14:textId="79C889C7" w:rsidR="0088126B" w:rsidRPr="000A7FD1" w:rsidRDefault="00336152" w:rsidP="00CC7A2D">
      <w:pPr>
        <w:pStyle w:val="FAM-Num-1"/>
        <w:numPr>
          <w:ilvl w:val="0"/>
          <w:numId w:val="16"/>
        </w:numPr>
        <w:tabs>
          <w:tab w:val="clear" w:pos="1800"/>
        </w:tabs>
        <w:rPr>
          <w:rFonts w:ascii="Arial" w:hAnsi="Arial" w:cs="Arial"/>
          <w:sz w:val="22"/>
        </w:rPr>
      </w:pPr>
      <w:r w:rsidRPr="000A7FD1">
        <w:rPr>
          <w:rFonts w:ascii="Arial" w:hAnsi="Arial" w:cs="Arial"/>
          <w:sz w:val="22"/>
        </w:rPr>
        <w:t>I</w:t>
      </w:r>
      <w:r w:rsidR="0088126B" w:rsidRPr="000A7FD1">
        <w:rPr>
          <w:rFonts w:ascii="Arial" w:hAnsi="Arial" w:cs="Arial"/>
          <w:sz w:val="22"/>
        </w:rPr>
        <w:t xml:space="preserve">n column </w:t>
      </w:r>
      <w:r w:rsidR="00151AFE" w:rsidRPr="000A7FD1">
        <w:rPr>
          <w:rFonts w:ascii="Arial" w:hAnsi="Arial" w:cs="Arial"/>
          <w:sz w:val="22"/>
        </w:rPr>
        <w:t>6</w:t>
      </w:r>
      <w:r w:rsidR="0088126B" w:rsidRPr="000A7FD1">
        <w:rPr>
          <w:rFonts w:ascii="Arial" w:hAnsi="Arial" w:cs="Arial"/>
          <w:sz w:val="22"/>
        </w:rPr>
        <w:t>, indicate whether the identified risk</w:t>
      </w:r>
      <w:r w:rsidR="00725B47" w:rsidRPr="000A7FD1">
        <w:rPr>
          <w:rFonts w:ascii="Arial" w:hAnsi="Arial" w:cs="Arial"/>
          <w:sz w:val="22"/>
        </w:rPr>
        <w:t xml:space="preserve"> </w:t>
      </w:r>
      <w:r w:rsidR="0088126B" w:rsidRPr="000A7FD1">
        <w:rPr>
          <w:rFonts w:ascii="Arial" w:hAnsi="Arial" w:cs="Arial"/>
          <w:sz w:val="22"/>
        </w:rPr>
        <w:t>is a significant risk</w:t>
      </w:r>
      <w:r w:rsidR="006818F2" w:rsidRPr="000A7FD1">
        <w:rPr>
          <w:rFonts w:ascii="Arial" w:hAnsi="Arial" w:cs="Arial"/>
          <w:sz w:val="22"/>
        </w:rPr>
        <w:t xml:space="preserve">. </w:t>
      </w:r>
      <w:r w:rsidR="00251377" w:rsidRPr="000A7FD1">
        <w:rPr>
          <w:rFonts w:ascii="Arial" w:hAnsi="Arial" w:cs="Arial"/>
          <w:sz w:val="22"/>
        </w:rPr>
        <w:t>As in</w:t>
      </w:r>
      <w:r w:rsidR="00227298" w:rsidRPr="000A7FD1">
        <w:rPr>
          <w:rFonts w:ascii="Arial" w:hAnsi="Arial" w:cs="Arial"/>
          <w:sz w:val="22"/>
        </w:rPr>
        <w:t xml:space="preserve"> column 4, this should be consistent with the significant risk </w:t>
      </w:r>
      <w:r w:rsidR="00812CAE" w:rsidRPr="000A7FD1">
        <w:rPr>
          <w:rFonts w:ascii="Arial" w:hAnsi="Arial" w:cs="Arial"/>
          <w:sz w:val="22"/>
        </w:rPr>
        <w:t>identification</w:t>
      </w:r>
      <w:r w:rsidR="00227298" w:rsidRPr="000A7FD1">
        <w:rPr>
          <w:rFonts w:ascii="Arial" w:hAnsi="Arial" w:cs="Arial"/>
          <w:sz w:val="22"/>
        </w:rPr>
        <w:t xml:space="preserve"> for other line items affected by the </w:t>
      </w:r>
      <w:r w:rsidR="00812CAE" w:rsidRPr="000A7FD1">
        <w:rPr>
          <w:rFonts w:ascii="Arial" w:hAnsi="Arial" w:cs="Arial"/>
          <w:sz w:val="22"/>
        </w:rPr>
        <w:t xml:space="preserve">same </w:t>
      </w:r>
      <w:r w:rsidR="00227298" w:rsidRPr="000A7FD1">
        <w:rPr>
          <w:rFonts w:ascii="Arial" w:hAnsi="Arial" w:cs="Arial"/>
          <w:sz w:val="22"/>
        </w:rPr>
        <w:t xml:space="preserve">class of transactions. </w:t>
      </w:r>
      <w:r w:rsidR="00EE31BE" w:rsidRPr="000A7FD1">
        <w:rPr>
          <w:rFonts w:ascii="Arial" w:hAnsi="Arial" w:cs="Arial"/>
          <w:sz w:val="22"/>
        </w:rPr>
        <w:t xml:space="preserve">A significant risk is an identified risk of material misstatement </w:t>
      </w:r>
      <w:r w:rsidR="0085238D" w:rsidRPr="000A7FD1">
        <w:rPr>
          <w:rFonts w:ascii="Arial" w:hAnsi="Arial" w:cs="Arial"/>
          <w:sz w:val="22"/>
        </w:rPr>
        <w:t xml:space="preserve">(1) </w:t>
      </w:r>
      <w:r w:rsidR="00EE31BE" w:rsidRPr="000A7FD1">
        <w:rPr>
          <w:rFonts w:ascii="Arial" w:hAnsi="Arial" w:cs="Arial"/>
          <w:sz w:val="22"/>
        </w:rPr>
        <w:t>for which the assessment of inherent risk is high</w:t>
      </w:r>
      <w:r w:rsidR="00251377" w:rsidRPr="000A7FD1">
        <w:rPr>
          <w:rFonts w:ascii="Arial" w:hAnsi="Arial" w:cs="Arial"/>
          <w:sz w:val="22"/>
        </w:rPr>
        <w:t>;</w:t>
      </w:r>
      <w:r w:rsidR="00EE31BE" w:rsidRPr="000A7FD1">
        <w:rPr>
          <w:rFonts w:ascii="Arial" w:hAnsi="Arial" w:cs="Arial"/>
          <w:sz w:val="22"/>
        </w:rPr>
        <w:t xml:space="preserve"> </w:t>
      </w:r>
      <w:r w:rsidR="0085238D" w:rsidRPr="000A7FD1">
        <w:rPr>
          <w:rFonts w:ascii="Arial" w:hAnsi="Arial" w:cs="Arial"/>
          <w:sz w:val="22"/>
        </w:rPr>
        <w:t xml:space="preserve">(2) </w:t>
      </w:r>
      <w:r w:rsidR="00EE31BE" w:rsidRPr="000A7FD1">
        <w:rPr>
          <w:rFonts w:ascii="Arial" w:hAnsi="Arial" w:cs="Arial"/>
          <w:sz w:val="22"/>
        </w:rPr>
        <w:t xml:space="preserve">due to fraud, </w:t>
      </w:r>
      <w:r w:rsidR="0085238D" w:rsidRPr="000A7FD1">
        <w:rPr>
          <w:rFonts w:ascii="Arial" w:hAnsi="Arial" w:cs="Arial"/>
          <w:sz w:val="22"/>
        </w:rPr>
        <w:t>for which inherent risk is more than remote</w:t>
      </w:r>
      <w:r w:rsidR="00251377" w:rsidRPr="000A7FD1">
        <w:rPr>
          <w:rFonts w:ascii="Arial" w:hAnsi="Arial" w:cs="Arial"/>
          <w:sz w:val="22"/>
        </w:rPr>
        <w:t>;</w:t>
      </w:r>
      <w:r w:rsidR="0085238D" w:rsidRPr="000A7FD1">
        <w:rPr>
          <w:rFonts w:ascii="Arial" w:hAnsi="Arial" w:cs="Arial"/>
          <w:sz w:val="22"/>
        </w:rPr>
        <w:t xml:space="preserve"> </w:t>
      </w:r>
      <w:r w:rsidR="00EE31BE" w:rsidRPr="000A7FD1">
        <w:rPr>
          <w:rFonts w:ascii="Arial" w:hAnsi="Arial" w:cs="Arial"/>
          <w:sz w:val="22"/>
        </w:rPr>
        <w:t xml:space="preserve">or </w:t>
      </w:r>
      <w:r w:rsidR="0085238D" w:rsidRPr="000A7FD1">
        <w:rPr>
          <w:rFonts w:ascii="Arial" w:hAnsi="Arial" w:cs="Arial"/>
          <w:sz w:val="22"/>
        </w:rPr>
        <w:t xml:space="preserve">(3) </w:t>
      </w:r>
      <w:r w:rsidR="00EE31BE" w:rsidRPr="000A7FD1">
        <w:rPr>
          <w:rFonts w:ascii="Arial" w:hAnsi="Arial" w:cs="Arial"/>
          <w:sz w:val="22"/>
        </w:rPr>
        <w:t>arising from transactions with disclosure entities, related parties, and public-private partnerships that are also significant unusual transactions</w:t>
      </w:r>
      <w:r w:rsidR="00C47D20">
        <w:rPr>
          <w:rFonts w:ascii="Arial" w:hAnsi="Arial" w:cs="Arial"/>
          <w:sz w:val="22"/>
        </w:rPr>
        <w:t>,</w:t>
      </w:r>
      <w:r w:rsidR="0085238D" w:rsidRPr="000A7FD1">
        <w:rPr>
          <w:rFonts w:ascii="Arial" w:hAnsi="Arial" w:cs="Arial"/>
          <w:sz w:val="22"/>
        </w:rPr>
        <w:t xml:space="preserve"> for which inherent risk is more than remote</w:t>
      </w:r>
      <w:r w:rsidR="00EE31BE" w:rsidRPr="000A7FD1">
        <w:rPr>
          <w:rFonts w:ascii="Arial" w:hAnsi="Arial" w:cs="Arial"/>
          <w:sz w:val="22"/>
        </w:rPr>
        <w:t xml:space="preserve">. </w:t>
      </w:r>
      <w:r w:rsidR="00243EDE" w:rsidRPr="000A7FD1">
        <w:rPr>
          <w:rFonts w:ascii="Arial" w:hAnsi="Arial" w:cs="Arial"/>
          <w:sz w:val="22"/>
        </w:rPr>
        <w:t xml:space="preserve">Significant </w:t>
      </w:r>
      <w:r w:rsidR="00F9573F" w:rsidRPr="000A7FD1">
        <w:rPr>
          <w:rFonts w:ascii="Arial" w:hAnsi="Arial" w:cs="Arial"/>
          <w:sz w:val="22"/>
        </w:rPr>
        <w:t>risks</w:t>
      </w:r>
      <w:r w:rsidR="0053075E" w:rsidRPr="000A7FD1">
        <w:rPr>
          <w:rFonts w:ascii="Arial" w:hAnsi="Arial" w:cs="Arial"/>
          <w:sz w:val="22"/>
        </w:rPr>
        <w:t xml:space="preserve"> </w:t>
      </w:r>
      <w:r w:rsidR="00F9573F" w:rsidRPr="000A7FD1">
        <w:rPr>
          <w:rFonts w:ascii="Arial" w:hAnsi="Arial" w:cs="Arial"/>
          <w:sz w:val="22"/>
        </w:rPr>
        <w:t>require special audit considerations</w:t>
      </w:r>
      <w:r w:rsidR="0050537D" w:rsidRPr="000A7FD1">
        <w:rPr>
          <w:rFonts w:ascii="Arial" w:hAnsi="Arial" w:cs="Arial"/>
          <w:sz w:val="22"/>
        </w:rPr>
        <w:t xml:space="preserve"> and are discussed throughout the FAM</w:t>
      </w:r>
      <w:r w:rsidR="0031769C" w:rsidRPr="000A7FD1">
        <w:rPr>
          <w:rFonts w:ascii="Arial" w:hAnsi="Arial" w:cs="Arial"/>
          <w:sz w:val="22"/>
        </w:rPr>
        <w:t>. See FAM 265 for additional guidance on identifying and responding to significant risks.</w:t>
      </w:r>
    </w:p>
    <w:p w14:paraId="75EB3AE5" w14:textId="2B1E0C72" w:rsidR="006818F2" w:rsidRPr="000A7FD1" w:rsidRDefault="000169C5" w:rsidP="000169C5">
      <w:pPr>
        <w:pStyle w:val="FAM-Num-1"/>
        <w:ind w:left="1440"/>
        <w:rPr>
          <w:rFonts w:ascii="Arial" w:hAnsi="Arial" w:cs="Arial"/>
          <w:b/>
          <w:bCs w:val="0"/>
          <w:sz w:val="22"/>
        </w:rPr>
      </w:pPr>
      <w:r w:rsidRPr="000A7FD1">
        <w:rPr>
          <w:rFonts w:ascii="Arial" w:hAnsi="Arial" w:cs="Arial"/>
          <w:b/>
          <w:bCs w:val="0"/>
          <w:sz w:val="22"/>
        </w:rPr>
        <w:t>Internal Control Phase:</w:t>
      </w:r>
    </w:p>
    <w:p w14:paraId="7B4C65CF" w14:textId="77777777" w:rsidR="00F01C6E" w:rsidRPr="000A7FD1" w:rsidRDefault="00F01C6E" w:rsidP="00F01C6E">
      <w:pPr>
        <w:pStyle w:val="FAM-Num-1"/>
        <w:ind w:left="1440"/>
        <w:rPr>
          <w:rFonts w:ascii="Arial" w:hAnsi="Arial" w:cs="Arial"/>
          <w:sz w:val="22"/>
        </w:rPr>
      </w:pPr>
      <w:r w:rsidRPr="000A7FD1">
        <w:rPr>
          <w:rFonts w:ascii="Arial" w:hAnsi="Arial" w:cs="Arial"/>
          <w:sz w:val="22"/>
        </w:rPr>
        <w:t>The following columns should be completed for each class of transactions that contributes to each identified risk for which inherent risk is more than remote.</w:t>
      </w:r>
    </w:p>
    <w:p w14:paraId="7808DCC7" w14:textId="5E23171A" w:rsidR="00AE46E9" w:rsidRPr="000A7FD1" w:rsidRDefault="00AE46E9" w:rsidP="00CC7A2D">
      <w:pPr>
        <w:pStyle w:val="FAM-Num-1"/>
        <w:numPr>
          <w:ilvl w:val="0"/>
          <w:numId w:val="17"/>
        </w:numPr>
        <w:tabs>
          <w:tab w:val="clear" w:pos="1800"/>
        </w:tabs>
        <w:rPr>
          <w:rFonts w:ascii="Arial" w:hAnsi="Arial" w:cs="Arial"/>
          <w:sz w:val="22"/>
        </w:rPr>
      </w:pPr>
      <w:r w:rsidRPr="000A7FD1">
        <w:rPr>
          <w:rFonts w:ascii="Arial" w:hAnsi="Arial" w:cs="Arial"/>
          <w:sz w:val="22"/>
        </w:rPr>
        <w:t xml:space="preserve">In column </w:t>
      </w:r>
      <w:r w:rsidR="00C064F5" w:rsidRPr="000A7FD1">
        <w:rPr>
          <w:rFonts w:ascii="Arial" w:hAnsi="Arial" w:cs="Arial"/>
          <w:sz w:val="22"/>
        </w:rPr>
        <w:t>7</w:t>
      </w:r>
      <w:r w:rsidRPr="000A7FD1">
        <w:rPr>
          <w:rFonts w:ascii="Arial" w:hAnsi="Arial" w:cs="Arial"/>
          <w:sz w:val="22"/>
        </w:rPr>
        <w:t xml:space="preserve">, </w:t>
      </w:r>
      <w:r w:rsidR="00C064F5" w:rsidRPr="000A7FD1">
        <w:rPr>
          <w:rFonts w:ascii="Arial" w:hAnsi="Arial" w:cs="Arial"/>
          <w:sz w:val="22"/>
        </w:rPr>
        <w:t>indicate the assessment of control risk, which is obtained from the SCE</w:t>
      </w:r>
      <w:r w:rsidR="00BF6A9B" w:rsidRPr="000A7FD1">
        <w:rPr>
          <w:rFonts w:ascii="Arial" w:hAnsi="Arial" w:cs="Arial"/>
          <w:sz w:val="22"/>
        </w:rPr>
        <w:t xml:space="preserve"> worksheet</w:t>
      </w:r>
      <w:r w:rsidR="00C064F5" w:rsidRPr="000A7FD1">
        <w:rPr>
          <w:rFonts w:ascii="Arial" w:hAnsi="Arial" w:cs="Arial"/>
          <w:sz w:val="22"/>
        </w:rPr>
        <w:t xml:space="preserve"> that addresses the class of transactions contributing to the identified risk</w:t>
      </w:r>
      <w:r w:rsidR="00082B53" w:rsidRPr="000A7FD1">
        <w:rPr>
          <w:rFonts w:ascii="Arial" w:hAnsi="Arial" w:cs="Arial"/>
          <w:sz w:val="22"/>
        </w:rPr>
        <w:t>.</w:t>
      </w:r>
      <w:r w:rsidR="00AA5670" w:rsidRPr="000A7FD1">
        <w:rPr>
          <w:rFonts w:ascii="Arial" w:hAnsi="Arial" w:cs="Arial"/>
          <w:sz w:val="22"/>
        </w:rPr>
        <w:t xml:space="preserve"> </w:t>
      </w:r>
    </w:p>
    <w:p w14:paraId="7DD6A74C" w14:textId="4DBEFC7F" w:rsidR="00856A2C" w:rsidRPr="000A7FD1" w:rsidRDefault="00856A2C" w:rsidP="00CC7A2D">
      <w:pPr>
        <w:pStyle w:val="FAM-Num-1"/>
        <w:numPr>
          <w:ilvl w:val="0"/>
          <w:numId w:val="17"/>
        </w:numPr>
        <w:tabs>
          <w:tab w:val="clear" w:pos="1800"/>
        </w:tabs>
        <w:rPr>
          <w:rFonts w:ascii="Arial" w:hAnsi="Arial" w:cs="Arial"/>
          <w:sz w:val="22"/>
        </w:rPr>
      </w:pPr>
      <w:r w:rsidRPr="000A7FD1">
        <w:rPr>
          <w:rFonts w:ascii="Arial" w:hAnsi="Arial" w:cs="Arial"/>
          <w:sz w:val="22"/>
        </w:rPr>
        <w:t xml:space="preserve">In column </w:t>
      </w:r>
      <w:r w:rsidR="00120305" w:rsidRPr="000A7FD1">
        <w:rPr>
          <w:rFonts w:ascii="Arial" w:hAnsi="Arial" w:cs="Arial"/>
          <w:sz w:val="22"/>
        </w:rPr>
        <w:t>8</w:t>
      </w:r>
      <w:r w:rsidR="00D506BB" w:rsidRPr="000A7FD1">
        <w:rPr>
          <w:rFonts w:ascii="Arial" w:hAnsi="Arial" w:cs="Arial"/>
          <w:sz w:val="22"/>
        </w:rPr>
        <w:t>,</w:t>
      </w:r>
      <w:r w:rsidRPr="000A7FD1">
        <w:rPr>
          <w:rFonts w:ascii="Arial" w:hAnsi="Arial" w:cs="Arial"/>
          <w:sz w:val="22"/>
        </w:rPr>
        <w:t xml:space="preserve"> assess the</w:t>
      </w:r>
      <w:r w:rsidR="006818F2" w:rsidRPr="000A7FD1">
        <w:rPr>
          <w:rFonts w:ascii="Arial" w:hAnsi="Arial" w:cs="Arial"/>
          <w:sz w:val="22"/>
        </w:rPr>
        <w:t xml:space="preserve"> </w:t>
      </w:r>
      <w:r w:rsidRPr="000A7FD1">
        <w:rPr>
          <w:rFonts w:ascii="Arial" w:hAnsi="Arial" w:cs="Arial"/>
          <w:sz w:val="22"/>
        </w:rPr>
        <w:t>risk of material misstatement as either low, m</w:t>
      </w:r>
      <w:r w:rsidR="006D7F0E" w:rsidRPr="000A7FD1">
        <w:rPr>
          <w:rFonts w:ascii="Arial" w:hAnsi="Arial" w:cs="Arial"/>
          <w:sz w:val="22"/>
        </w:rPr>
        <w:t>oderate, or high (see FAM 370.09</w:t>
      </w:r>
      <w:r w:rsidRPr="000A7FD1">
        <w:rPr>
          <w:rFonts w:ascii="Arial" w:hAnsi="Arial" w:cs="Arial"/>
          <w:sz w:val="22"/>
        </w:rPr>
        <w:t xml:space="preserve">). This </w:t>
      </w:r>
      <w:r w:rsidR="00860CC8" w:rsidRPr="000A7FD1">
        <w:rPr>
          <w:rFonts w:ascii="Arial" w:hAnsi="Arial" w:cs="Arial"/>
          <w:sz w:val="22"/>
        </w:rPr>
        <w:t xml:space="preserve">is a combined </w:t>
      </w:r>
      <w:r w:rsidRPr="000A7FD1">
        <w:rPr>
          <w:rFonts w:ascii="Arial" w:hAnsi="Arial" w:cs="Arial"/>
          <w:sz w:val="22"/>
        </w:rPr>
        <w:t xml:space="preserve">assessment of </w:t>
      </w:r>
      <w:r w:rsidRPr="000A7FD1">
        <w:rPr>
          <w:rFonts w:ascii="Arial" w:hAnsi="Arial" w:cs="Arial"/>
          <w:sz w:val="22"/>
        </w:rPr>
        <w:lastRenderedPageBreak/>
        <w:t xml:space="preserve">inherent risk (column </w:t>
      </w:r>
      <w:r w:rsidR="00120305" w:rsidRPr="000A7FD1">
        <w:rPr>
          <w:rFonts w:ascii="Arial" w:hAnsi="Arial" w:cs="Arial"/>
          <w:sz w:val="22"/>
        </w:rPr>
        <w:t>5</w:t>
      </w:r>
      <w:r w:rsidRPr="000A7FD1">
        <w:rPr>
          <w:rFonts w:ascii="Arial" w:hAnsi="Arial" w:cs="Arial"/>
          <w:sz w:val="22"/>
        </w:rPr>
        <w:t xml:space="preserve">) and control risk (column </w:t>
      </w:r>
      <w:r w:rsidR="00120305" w:rsidRPr="000A7FD1">
        <w:rPr>
          <w:rFonts w:ascii="Arial" w:hAnsi="Arial" w:cs="Arial"/>
          <w:sz w:val="22"/>
        </w:rPr>
        <w:t>7</w:t>
      </w:r>
      <w:r w:rsidRPr="000A7FD1">
        <w:rPr>
          <w:rFonts w:ascii="Arial" w:hAnsi="Arial" w:cs="Arial"/>
          <w:sz w:val="22"/>
        </w:rPr>
        <w:t>)</w:t>
      </w:r>
      <w:r w:rsidR="006818F2" w:rsidRPr="000A7FD1">
        <w:rPr>
          <w:rFonts w:ascii="Arial" w:hAnsi="Arial" w:cs="Arial"/>
          <w:sz w:val="22"/>
        </w:rPr>
        <w:t xml:space="preserve">. </w:t>
      </w:r>
      <w:r w:rsidR="00120305" w:rsidRPr="000A7FD1">
        <w:rPr>
          <w:rFonts w:ascii="Arial" w:hAnsi="Arial" w:cs="Arial"/>
          <w:sz w:val="22"/>
        </w:rPr>
        <w:t xml:space="preserve">In making this assessment, consider </w:t>
      </w:r>
      <w:r w:rsidR="00262659" w:rsidRPr="000A7FD1">
        <w:rPr>
          <w:rFonts w:ascii="Arial" w:hAnsi="Arial" w:cs="Arial"/>
          <w:sz w:val="22"/>
        </w:rPr>
        <w:t>the extent to which</w:t>
      </w:r>
      <w:r w:rsidR="00120305" w:rsidRPr="000A7FD1">
        <w:rPr>
          <w:rFonts w:ascii="Arial" w:hAnsi="Arial" w:cs="Arial"/>
          <w:sz w:val="22"/>
        </w:rPr>
        <w:t xml:space="preserve"> control risk </w:t>
      </w:r>
      <w:r w:rsidR="00262659" w:rsidRPr="000A7FD1">
        <w:rPr>
          <w:rFonts w:ascii="Arial" w:hAnsi="Arial" w:cs="Arial"/>
          <w:sz w:val="22"/>
        </w:rPr>
        <w:t>mitigates</w:t>
      </w:r>
      <w:r w:rsidR="00120305" w:rsidRPr="000A7FD1">
        <w:rPr>
          <w:rFonts w:ascii="Arial" w:hAnsi="Arial" w:cs="Arial"/>
          <w:sz w:val="22"/>
        </w:rPr>
        <w:t xml:space="preserve"> </w:t>
      </w:r>
      <w:r w:rsidR="00262659" w:rsidRPr="000A7FD1">
        <w:rPr>
          <w:rFonts w:ascii="Arial" w:hAnsi="Arial" w:cs="Arial"/>
          <w:sz w:val="22"/>
        </w:rPr>
        <w:t>inherent risk</w:t>
      </w:r>
      <w:r w:rsidR="00120305" w:rsidRPr="000A7FD1">
        <w:rPr>
          <w:rFonts w:ascii="Arial" w:hAnsi="Arial" w:cs="Arial"/>
          <w:sz w:val="22"/>
        </w:rPr>
        <w:t>. If control risk is high, the assessment of risk of material misstatement would be the same as the assessment of inherent risk.</w:t>
      </w:r>
    </w:p>
    <w:p w14:paraId="3004CC15" w14:textId="700E8B35" w:rsidR="00227298" w:rsidRPr="000A7FD1" w:rsidRDefault="00C147EC" w:rsidP="00227298">
      <w:pPr>
        <w:pStyle w:val="FAM-Num-1"/>
        <w:ind w:left="1440"/>
        <w:rPr>
          <w:rFonts w:ascii="Arial" w:hAnsi="Arial" w:cs="Arial"/>
          <w:sz w:val="22"/>
        </w:rPr>
      </w:pPr>
      <w:r w:rsidRPr="000A7FD1">
        <w:rPr>
          <w:rFonts w:ascii="Arial" w:hAnsi="Arial" w:cs="Arial"/>
          <w:sz w:val="22"/>
        </w:rPr>
        <w:t>As in</w:t>
      </w:r>
      <w:r w:rsidR="00227298" w:rsidRPr="000A7FD1">
        <w:rPr>
          <w:rFonts w:ascii="Arial" w:hAnsi="Arial" w:cs="Arial"/>
          <w:sz w:val="22"/>
        </w:rPr>
        <w:t xml:space="preserve"> column 4, this should be consistent with the risk assessment for other line items affected by the </w:t>
      </w:r>
      <w:r w:rsidR="00812CAE" w:rsidRPr="000A7FD1">
        <w:rPr>
          <w:rFonts w:ascii="Arial" w:hAnsi="Arial" w:cs="Arial"/>
          <w:sz w:val="22"/>
        </w:rPr>
        <w:t xml:space="preserve">same </w:t>
      </w:r>
      <w:r w:rsidR="00227298" w:rsidRPr="000A7FD1">
        <w:rPr>
          <w:rFonts w:ascii="Arial" w:hAnsi="Arial" w:cs="Arial"/>
          <w:sz w:val="22"/>
        </w:rPr>
        <w:t>class of transactions.</w:t>
      </w:r>
    </w:p>
    <w:p w14:paraId="2EDD0BF7" w14:textId="13DF9A39" w:rsidR="00856A2C" w:rsidRPr="000A7FD1" w:rsidRDefault="00856A2C" w:rsidP="008B6636">
      <w:pPr>
        <w:pStyle w:val="StyleBodyText-Cont-FAMArial11ptBold"/>
      </w:pPr>
      <w:r w:rsidRPr="000A7FD1">
        <w:t>Testing Phase:</w:t>
      </w:r>
    </w:p>
    <w:p w14:paraId="22BFE43A" w14:textId="77777777" w:rsidR="00F01C6E" w:rsidRPr="000A7FD1" w:rsidRDefault="00F01C6E" w:rsidP="00F01C6E">
      <w:pPr>
        <w:pStyle w:val="FAM-Num-1"/>
        <w:ind w:left="1440"/>
        <w:rPr>
          <w:rFonts w:ascii="Arial" w:hAnsi="Arial" w:cs="Arial"/>
          <w:sz w:val="22"/>
        </w:rPr>
      </w:pPr>
      <w:r w:rsidRPr="000A7FD1">
        <w:rPr>
          <w:rFonts w:ascii="Arial" w:hAnsi="Arial" w:cs="Arial"/>
          <w:sz w:val="22"/>
        </w:rPr>
        <w:t>The following columns should be completed for each class of transactions that contributes to each identified risk for which inherent risk is more than remote.</w:t>
      </w:r>
    </w:p>
    <w:p w14:paraId="27D02C4F" w14:textId="00ABADA3" w:rsidR="00932C5B" w:rsidRPr="000A7FD1" w:rsidRDefault="00932C5B" w:rsidP="00932C5B">
      <w:pPr>
        <w:pStyle w:val="StyleBodyText-Cont-FAMArial11ptBold"/>
        <w:numPr>
          <w:ilvl w:val="0"/>
          <w:numId w:val="17"/>
        </w:numPr>
        <w:rPr>
          <w:b w:val="0"/>
          <w:bCs w:val="0"/>
        </w:rPr>
      </w:pPr>
      <w:r w:rsidRPr="000A7FD1">
        <w:rPr>
          <w:rFonts w:cs="Arial"/>
          <w:b w:val="0"/>
          <w:bCs w:val="0"/>
        </w:rPr>
        <w:t xml:space="preserve">In column </w:t>
      </w:r>
      <w:r w:rsidR="00F01C6E" w:rsidRPr="000A7FD1">
        <w:rPr>
          <w:rFonts w:cs="Arial"/>
          <w:b w:val="0"/>
          <w:bCs w:val="0"/>
        </w:rPr>
        <w:t>9</w:t>
      </w:r>
      <w:r w:rsidRPr="000A7FD1">
        <w:rPr>
          <w:rFonts w:cs="Arial"/>
          <w:b w:val="0"/>
          <w:bCs w:val="0"/>
        </w:rPr>
        <w:t xml:space="preserve">, </w:t>
      </w:r>
      <w:r w:rsidR="00E20E69" w:rsidRPr="000A7FD1">
        <w:rPr>
          <w:rFonts w:cs="Arial"/>
          <w:b w:val="0"/>
          <w:bCs w:val="0"/>
        </w:rPr>
        <w:t>summarize</w:t>
      </w:r>
      <w:r w:rsidRPr="000A7FD1">
        <w:rPr>
          <w:rFonts w:cs="Arial"/>
          <w:b w:val="0"/>
          <w:bCs w:val="0"/>
        </w:rPr>
        <w:t xml:space="preserve"> </w:t>
      </w:r>
      <w:r w:rsidR="00026244" w:rsidRPr="000A7FD1">
        <w:rPr>
          <w:rFonts w:cs="Arial"/>
          <w:b w:val="0"/>
          <w:bCs w:val="0"/>
        </w:rPr>
        <w:t xml:space="preserve">the </w:t>
      </w:r>
      <w:r w:rsidRPr="000A7FD1">
        <w:rPr>
          <w:rFonts w:cs="Arial"/>
          <w:b w:val="0"/>
          <w:bCs w:val="0"/>
        </w:rPr>
        <w:t xml:space="preserve">nature, extent, and timing of </w:t>
      </w:r>
      <w:r w:rsidR="00E20E69" w:rsidRPr="000A7FD1">
        <w:rPr>
          <w:rFonts w:cs="Arial"/>
          <w:b w:val="0"/>
          <w:bCs w:val="0"/>
        </w:rPr>
        <w:t xml:space="preserve">planned </w:t>
      </w:r>
      <w:r w:rsidR="000E5BAB" w:rsidRPr="000A7FD1">
        <w:rPr>
          <w:rFonts w:cs="Arial"/>
          <w:b w:val="0"/>
          <w:bCs w:val="0"/>
        </w:rPr>
        <w:t xml:space="preserve">substantive </w:t>
      </w:r>
      <w:r w:rsidRPr="000A7FD1">
        <w:rPr>
          <w:rFonts w:cs="Arial"/>
          <w:b w:val="0"/>
          <w:bCs w:val="0"/>
        </w:rPr>
        <w:t xml:space="preserve">audit procedures </w:t>
      </w:r>
      <w:r w:rsidR="00E20E69" w:rsidRPr="000A7FD1">
        <w:rPr>
          <w:rFonts w:cs="Arial"/>
          <w:b w:val="0"/>
          <w:bCs w:val="0"/>
        </w:rPr>
        <w:t xml:space="preserve">that address </w:t>
      </w:r>
      <w:r w:rsidR="008F6460" w:rsidRPr="000A7FD1">
        <w:rPr>
          <w:rFonts w:cs="Arial"/>
          <w:b w:val="0"/>
          <w:bCs w:val="0"/>
        </w:rPr>
        <w:t>the risk</w:t>
      </w:r>
      <w:r w:rsidR="00026244" w:rsidRPr="000A7FD1">
        <w:rPr>
          <w:rFonts w:cs="Arial"/>
          <w:b w:val="0"/>
          <w:bCs w:val="0"/>
        </w:rPr>
        <w:t xml:space="preserve"> </w:t>
      </w:r>
      <w:r w:rsidRPr="000A7FD1">
        <w:rPr>
          <w:rFonts w:cs="Arial"/>
          <w:b w:val="0"/>
          <w:bCs w:val="0"/>
        </w:rPr>
        <w:t xml:space="preserve">(see FAM 420). </w:t>
      </w:r>
    </w:p>
    <w:p w14:paraId="29F53590" w14:textId="2F891DBB" w:rsidR="00AE7E6D" w:rsidRPr="000A7FD1" w:rsidRDefault="00AE7E6D" w:rsidP="00AE7E6D">
      <w:pPr>
        <w:pStyle w:val="FAM-Num-1"/>
        <w:numPr>
          <w:ilvl w:val="0"/>
          <w:numId w:val="17"/>
        </w:numPr>
        <w:tabs>
          <w:tab w:val="clear" w:pos="1800"/>
        </w:tabs>
        <w:rPr>
          <w:rFonts w:ascii="Arial" w:hAnsi="Arial" w:cs="Arial"/>
          <w:sz w:val="22"/>
        </w:rPr>
      </w:pPr>
      <w:r w:rsidRPr="000A7FD1">
        <w:rPr>
          <w:rFonts w:ascii="Arial" w:hAnsi="Arial" w:cs="Arial"/>
          <w:sz w:val="22"/>
        </w:rPr>
        <w:t xml:space="preserve">In column </w:t>
      </w:r>
      <w:r w:rsidR="00E31087" w:rsidRPr="000A7FD1">
        <w:rPr>
          <w:rFonts w:ascii="Arial" w:hAnsi="Arial" w:cs="Arial"/>
          <w:sz w:val="22"/>
        </w:rPr>
        <w:t>10</w:t>
      </w:r>
      <w:r w:rsidRPr="000A7FD1">
        <w:rPr>
          <w:rFonts w:ascii="Arial" w:hAnsi="Arial" w:cs="Arial"/>
          <w:sz w:val="22"/>
        </w:rPr>
        <w:t xml:space="preserve">, provide a reference to the </w:t>
      </w:r>
      <w:r w:rsidR="00E20E69" w:rsidRPr="000A7FD1">
        <w:rPr>
          <w:rFonts w:ascii="Arial" w:hAnsi="Arial" w:cs="Arial"/>
          <w:sz w:val="22"/>
        </w:rPr>
        <w:t xml:space="preserve">related </w:t>
      </w:r>
      <w:r w:rsidRPr="000A7FD1">
        <w:rPr>
          <w:rFonts w:ascii="Arial" w:hAnsi="Arial" w:cs="Arial"/>
          <w:sz w:val="22"/>
        </w:rPr>
        <w:t>audit procedure step number(s) in the testing audit plan.</w:t>
      </w:r>
    </w:p>
    <w:p w14:paraId="5CF866E8" w14:textId="03D73A6F" w:rsidR="00227298" w:rsidRPr="000A7FD1" w:rsidRDefault="00227298" w:rsidP="00227298">
      <w:pPr>
        <w:pStyle w:val="FAM-Num-1"/>
        <w:ind w:left="1440"/>
        <w:rPr>
          <w:rFonts w:ascii="Arial" w:hAnsi="Arial" w:cs="Arial"/>
          <w:sz w:val="22"/>
        </w:rPr>
      </w:pPr>
      <w:r w:rsidRPr="000A7FD1">
        <w:rPr>
          <w:rFonts w:ascii="Arial" w:hAnsi="Arial" w:cs="Arial"/>
          <w:sz w:val="22"/>
        </w:rPr>
        <w:t>If the audit procedures for a class of transactions is already documented on another LIRA</w:t>
      </w:r>
      <w:r w:rsidR="004818B8" w:rsidRPr="000A7FD1">
        <w:rPr>
          <w:rFonts w:ascii="Arial" w:hAnsi="Arial" w:cs="Arial"/>
          <w:sz w:val="22"/>
        </w:rPr>
        <w:t xml:space="preserve"> form</w:t>
      </w:r>
      <w:r w:rsidRPr="000A7FD1">
        <w:rPr>
          <w:rFonts w:ascii="Arial" w:hAnsi="Arial" w:cs="Arial"/>
          <w:sz w:val="22"/>
        </w:rPr>
        <w:t>, the auditor may refer to the other LIRA</w:t>
      </w:r>
      <w:r w:rsidR="004818B8" w:rsidRPr="000A7FD1">
        <w:rPr>
          <w:rFonts w:ascii="Arial" w:hAnsi="Arial" w:cs="Arial"/>
          <w:sz w:val="22"/>
        </w:rPr>
        <w:t xml:space="preserve"> form</w:t>
      </w:r>
      <w:r w:rsidRPr="000A7FD1">
        <w:rPr>
          <w:rFonts w:ascii="Arial" w:hAnsi="Arial" w:cs="Arial"/>
          <w:sz w:val="22"/>
        </w:rPr>
        <w:t xml:space="preserve"> in columns 9 and 10.  </w:t>
      </w:r>
    </w:p>
    <w:p w14:paraId="74C905A0" w14:textId="5BDA23A3" w:rsidR="00856A2C" w:rsidRPr="000A7FD1" w:rsidRDefault="00856A2C" w:rsidP="00696F63">
      <w:pPr>
        <w:pStyle w:val="FAM-Subsection"/>
        <w:numPr>
          <w:ilvl w:val="0"/>
          <w:numId w:val="24"/>
        </w:numPr>
      </w:pPr>
      <w:r w:rsidRPr="000A7FD1">
        <w:t>If the results of</w:t>
      </w:r>
      <w:r w:rsidR="00E20E69" w:rsidRPr="000A7FD1">
        <w:t xml:space="preserve"> audit procedures in the testing phase (e.g., sampling control tests</w:t>
      </w:r>
      <w:r w:rsidR="0077776D" w:rsidRPr="000A7FD1">
        <w:t xml:space="preserve"> and substantive</w:t>
      </w:r>
      <w:r w:rsidR="005857B1" w:rsidRPr="000A7FD1">
        <w:t xml:space="preserve"> procedures</w:t>
      </w:r>
      <w:r w:rsidR="00026244" w:rsidRPr="000A7FD1">
        <w:t>, see FAM 400</w:t>
      </w:r>
      <w:r w:rsidR="00E20E69" w:rsidRPr="000A7FD1">
        <w:t xml:space="preserve">) </w:t>
      </w:r>
      <w:r w:rsidRPr="000A7FD1">
        <w:t xml:space="preserve">indicate that the assessment of </w:t>
      </w:r>
      <w:r w:rsidR="001F7067" w:rsidRPr="000A7FD1">
        <w:t xml:space="preserve">inherent risk, control risk, and the </w:t>
      </w:r>
      <w:r w:rsidRPr="000A7FD1">
        <w:t xml:space="preserve">risk of material misstatement </w:t>
      </w:r>
      <w:r w:rsidR="00780AAB" w:rsidRPr="000A7FD1">
        <w:t xml:space="preserve">at the assertion level </w:t>
      </w:r>
      <w:r w:rsidRPr="000A7FD1">
        <w:t xml:space="preserve">was not appropriate, the auditor should document the revised assessment </w:t>
      </w:r>
      <w:r w:rsidR="001F7067" w:rsidRPr="000A7FD1">
        <w:t xml:space="preserve">and </w:t>
      </w:r>
      <w:r w:rsidRPr="000A7FD1">
        <w:t xml:space="preserve">the factors contributing to the revised assessment in </w:t>
      </w:r>
      <w:r w:rsidR="001F7067" w:rsidRPr="000A7FD1">
        <w:t>the LIRA form or other document, such as the audit summary memo</w:t>
      </w:r>
      <w:r w:rsidRPr="000A7FD1">
        <w:t xml:space="preserve">. </w:t>
      </w:r>
    </w:p>
    <w:p w14:paraId="50D43798" w14:textId="77777777" w:rsidR="007E2E8B" w:rsidRPr="000A7FD1" w:rsidRDefault="007E2E8B" w:rsidP="008B6636">
      <w:pPr>
        <w:sectPr w:rsidR="007E2E8B" w:rsidRPr="000A7FD1" w:rsidSect="00666BFE">
          <w:headerReference w:type="even" r:id="rId71"/>
          <w:headerReference w:type="default" r:id="rId72"/>
          <w:footerReference w:type="even" r:id="rId73"/>
          <w:footerReference w:type="default" r:id="rId74"/>
          <w:endnotePr>
            <w:numFmt w:val="decimal"/>
          </w:endnotePr>
          <w:pgSz w:w="12240" w:h="15840" w:code="1"/>
          <w:pgMar w:top="1080" w:right="1440" w:bottom="1080" w:left="1080" w:header="720" w:footer="720" w:gutter="360"/>
          <w:pgNumType w:start="1"/>
          <w:cols w:space="720"/>
          <w:noEndnote/>
          <w:docGrid w:linePitch="326"/>
        </w:sectPr>
      </w:pPr>
    </w:p>
    <w:tbl>
      <w:tblPr>
        <w:tblW w:w="17640" w:type="dxa"/>
        <w:tblLook w:val="04A0" w:firstRow="1" w:lastRow="0" w:firstColumn="1" w:lastColumn="0" w:noHBand="0" w:noVBand="1"/>
      </w:tblPr>
      <w:tblGrid>
        <w:gridCol w:w="1634"/>
        <w:gridCol w:w="2562"/>
        <w:gridCol w:w="1573"/>
        <w:gridCol w:w="1986"/>
        <w:gridCol w:w="1456"/>
        <w:gridCol w:w="1768"/>
        <w:gridCol w:w="1814"/>
        <w:gridCol w:w="1794"/>
        <w:gridCol w:w="2077"/>
        <w:gridCol w:w="976"/>
      </w:tblGrid>
      <w:tr w:rsidR="008D06F2" w:rsidRPr="000A7FD1" w14:paraId="5E0C4663" w14:textId="77777777" w:rsidTr="003B3190">
        <w:trPr>
          <w:cantSplit/>
          <w:trHeight w:val="403"/>
        </w:trPr>
        <w:tc>
          <w:tcPr>
            <w:tcW w:w="17640" w:type="dxa"/>
            <w:gridSpan w:val="10"/>
            <w:tcBorders>
              <w:bottom w:val="single" w:sz="12" w:space="0" w:color="auto"/>
            </w:tcBorders>
            <w:shd w:val="clear" w:color="000000" w:fill="FFFFFF"/>
            <w:noWrap/>
            <w:vAlign w:val="bottom"/>
          </w:tcPr>
          <w:p w14:paraId="57D9EAA9" w14:textId="78B03314" w:rsidR="008D06F2" w:rsidRPr="000A7FD1" w:rsidRDefault="008D06F2" w:rsidP="008D06F2">
            <w:pPr>
              <w:widowControl/>
              <w:adjustRightInd/>
              <w:spacing w:before="0" w:after="0"/>
              <w:textAlignment w:val="auto"/>
              <w:rPr>
                <w:rFonts w:cs="Arial"/>
                <w:b/>
                <w:bCs/>
                <w:color w:val="000000"/>
                <w:sz w:val="28"/>
                <w:szCs w:val="28"/>
              </w:rPr>
            </w:pPr>
            <w:r w:rsidRPr="000A7FD1">
              <w:rPr>
                <w:rFonts w:cs="Arial"/>
                <w:sz w:val="20"/>
                <w:szCs w:val="20"/>
              </w:rPr>
              <w:lastRenderedPageBreak/>
              <w:t xml:space="preserve">Note: The auditor should tailor the risks in column 2 to the specific entity. For illustrative purposes, some columns contain example text. The auditor should complete all columns as applicable. </w:t>
            </w:r>
          </w:p>
        </w:tc>
      </w:tr>
      <w:tr w:rsidR="008D06F2" w:rsidRPr="000A7FD1" w14:paraId="7E0EBBC1" w14:textId="77777777" w:rsidTr="003B3190">
        <w:trPr>
          <w:cantSplit/>
          <w:trHeight w:val="258"/>
        </w:trPr>
        <w:tc>
          <w:tcPr>
            <w:tcW w:w="1635" w:type="dxa"/>
            <w:tcBorders>
              <w:top w:val="single" w:sz="12" w:space="0" w:color="auto"/>
              <w:left w:val="single" w:sz="12" w:space="0" w:color="auto"/>
            </w:tcBorders>
            <w:shd w:val="clear" w:color="000000" w:fill="FFFFFF"/>
            <w:noWrap/>
            <w:vAlign w:val="bottom"/>
            <w:hideMark/>
          </w:tcPr>
          <w:p w14:paraId="268FCF82" w14:textId="77777777" w:rsidR="008D06F2" w:rsidRPr="000A7FD1" w:rsidRDefault="008D06F2" w:rsidP="008D06F2">
            <w:pPr>
              <w:widowControl/>
              <w:adjustRightInd/>
              <w:spacing w:before="0" w:after="0"/>
              <w:textAlignment w:val="auto"/>
              <w:rPr>
                <w:rFonts w:cs="Arial"/>
                <w:b/>
                <w:bCs/>
                <w:color w:val="000000"/>
                <w:sz w:val="20"/>
                <w:szCs w:val="20"/>
              </w:rPr>
            </w:pPr>
            <w:r w:rsidRPr="000A7FD1">
              <w:rPr>
                <w:rFonts w:cs="Arial"/>
                <w:b/>
                <w:bCs/>
                <w:color w:val="000000"/>
                <w:sz w:val="20"/>
                <w:szCs w:val="20"/>
              </w:rPr>
              <w:t>ENTITY:</w:t>
            </w:r>
          </w:p>
        </w:tc>
        <w:tc>
          <w:tcPr>
            <w:tcW w:w="2563" w:type="dxa"/>
            <w:tcBorders>
              <w:top w:val="single" w:sz="12" w:space="0" w:color="auto"/>
            </w:tcBorders>
            <w:shd w:val="clear" w:color="000000" w:fill="FFFFFF"/>
            <w:noWrap/>
            <w:vAlign w:val="bottom"/>
            <w:hideMark/>
          </w:tcPr>
          <w:p w14:paraId="761866A5"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3558" w:type="dxa"/>
            <w:gridSpan w:val="2"/>
            <w:tcBorders>
              <w:top w:val="single" w:sz="12" w:space="0" w:color="auto"/>
              <w:bottom w:val="single" w:sz="8" w:space="0" w:color="auto"/>
            </w:tcBorders>
            <w:shd w:val="clear" w:color="000000" w:fill="FFFFFF"/>
            <w:noWrap/>
            <w:vAlign w:val="bottom"/>
            <w:hideMark/>
          </w:tcPr>
          <w:p w14:paraId="2126BF87"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456" w:type="dxa"/>
            <w:tcBorders>
              <w:top w:val="single" w:sz="12" w:space="0" w:color="auto"/>
            </w:tcBorders>
            <w:shd w:val="clear" w:color="000000" w:fill="FFFFFF"/>
            <w:noWrap/>
            <w:vAlign w:val="bottom"/>
            <w:hideMark/>
          </w:tcPr>
          <w:p w14:paraId="668E73FC" w14:textId="77777777" w:rsidR="008D06F2" w:rsidRPr="000A7FD1" w:rsidRDefault="008D06F2" w:rsidP="008D06F2">
            <w:pPr>
              <w:widowControl/>
              <w:adjustRightInd/>
              <w:spacing w:before="0" w:after="0"/>
              <w:textAlignment w:val="auto"/>
              <w:rPr>
                <w:rFonts w:cs="Arial"/>
                <w:color w:val="000000"/>
              </w:rPr>
            </w:pPr>
            <w:r w:rsidRPr="000A7FD1">
              <w:rPr>
                <w:rFonts w:cs="Arial"/>
                <w:color w:val="000000"/>
              </w:rPr>
              <w:t> </w:t>
            </w:r>
          </w:p>
        </w:tc>
        <w:tc>
          <w:tcPr>
            <w:tcW w:w="1768" w:type="dxa"/>
            <w:tcBorders>
              <w:top w:val="single" w:sz="12" w:space="0" w:color="auto"/>
            </w:tcBorders>
            <w:shd w:val="clear" w:color="000000" w:fill="FFFFFF"/>
            <w:noWrap/>
            <w:vAlign w:val="bottom"/>
            <w:hideMark/>
          </w:tcPr>
          <w:p w14:paraId="02047181" w14:textId="77777777" w:rsidR="008D06F2" w:rsidRPr="000A7FD1" w:rsidRDefault="008D06F2" w:rsidP="008D06F2">
            <w:pPr>
              <w:widowControl/>
              <w:adjustRightInd/>
              <w:spacing w:before="0" w:after="0"/>
              <w:textAlignment w:val="auto"/>
              <w:rPr>
                <w:rFonts w:cs="Arial"/>
                <w:color w:val="000000"/>
              </w:rPr>
            </w:pPr>
            <w:r w:rsidRPr="000A7FD1">
              <w:rPr>
                <w:rFonts w:cs="Arial"/>
                <w:color w:val="000000"/>
              </w:rPr>
              <w:t> </w:t>
            </w:r>
          </w:p>
        </w:tc>
        <w:tc>
          <w:tcPr>
            <w:tcW w:w="1814" w:type="dxa"/>
            <w:tcBorders>
              <w:top w:val="single" w:sz="12" w:space="0" w:color="auto"/>
            </w:tcBorders>
            <w:shd w:val="clear" w:color="000000" w:fill="FFFFFF"/>
            <w:vAlign w:val="center"/>
            <w:hideMark/>
          </w:tcPr>
          <w:p w14:paraId="7F830500" w14:textId="77777777" w:rsidR="008D06F2" w:rsidRPr="000A7FD1" w:rsidRDefault="008D06F2" w:rsidP="008D06F2">
            <w:pPr>
              <w:widowControl/>
              <w:adjustRightInd/>
              <w:spacing w:before="0" w:after="0"/>
              <w:textAlignment w:val="auto"/>
              <w:rPr>
                <w:rFonts w:cs="Arial"/>
                <w:b/>
                <w:bCs/>
                <w:sz w:val="28"/>
                <w:szCs w:val="28"/>
              </w:rPr>
            </w:pPr>
            <w:r w:rsidRPr="000A7FD1">
              <w:rPr>
                <w:rFonts w:cs="Arial"/>
                <w:b/>
                <w:bCs/>
                <w:sz w:val="28"/>
                <w:szCs w:val="28"/>
              </w:rPr>
              <w:t> </w:t>
            </w:r>
          </w:p>
        </w:tc>
        <w:tc>
          <w:tcPr>
            <w:tcW w:w="1793" w:type="dxa"/>
            <w:tcBorders>
              <w:top w:val="single" w:sz="12" w:space="0" w:color="auto"/>
            </w:tcBorders>
            <w:shd w:val="clear" w:color="000000" w:fill="FFFFFF"/>
            <w:vAlign w:val="center"/>
            <w:hideMark/>
          </w:tcPr>
          <w:p w14:paraId="6063D879" w14:textId="77777777" w:rsidR="008D06F2" w:rsidRPr="000A7FD1" w:rsidRDefault="008D06F2" w:rsidP="008D06F2">
            <w:pPr>
              <w:widowControl/>
              <w:adjustRightInd/>
              <w:spacing w:before="0" w:after="0"/>
              <w:textAlignment w:val="auto"/>
              <w:rPr>
                <w:rFonts w:cs="Arial"/>
                <w:b/>
                <w:bCs/>
                <w:sz w:val="28"/>
                <w:szCs w:val="28"/>
              </w:rPr>
            </w:pPr>
            <w:r w:rsidRPr="000A7FD1">
              <w:rPr>
                <w:rFonts w:cs="Arial"/>
                <w:b/>
                <w:bCs/>
                <w:sz w:val="28"/>
                <w:szCs w:val="28"/>
              </w:rPr>
              <w:t> </w:t>
            </w:r>
          </w:p>
        </w:tc>
        <w:tc>
          <w:tcPr>
            <w:tcW w:w="2077" w:type="dxa"/>
            <w:tcBorders>
              <w:top w:val="single" w:sz="12" w:space="0" w:color="auto"/>
            </w:tcBorders>
            <w:shd w:val="clear" w:color="000000" w:fill="FFFFFF"/>
            <w:noWrap/>
            <w:vAlign w:val="center"/>
            <w:hideMark/>
          </w:tcPr>
          <w:p w14:paraId="71747418" w14:textId="77777777" w:rsidR="008D06F2" w:rsidRPr="000A7FD1" w:rsidRDefault="008D06F2" w:rsidP="008D06F2">
            <w:pPr>
              <w:widowControl/>
              <w:adjustRightInd/>
              <w:spacing w:before="0" w:after="0"/>
              <w:jc w:val="right"/>
              <w:textAlignment w:val="auto"/>
              <w:rPr>
                <w:rFonts w:cs="Arial"/>
                <w:b/>
                <w:bCs/>
                <w:color w:val="000000"/>
                <w:sz w:val="28"/>
                <w:szCs w:val="28"/>
              </w:rPr>
            </w:pPr>
            <w:r w:rsidRPr="000A7FD1">
              <w:rPr>
                <w:rFonts w:cs="Arial"/>
                <w:b/>
                <w:bCs/>
                <w:color w:val="000000"/>
                <w:sz w:val="28"/>
                <w:szCs w:val="28"/>
              </w:rPr>
              <w:t> </w:t>
            </w:r>
          </w:p>
        </w:tc>
        <w:tc>
          <w:tcPr>
            <w:tcW w:w="976" w:type="dxa"/>
            <w:tcBorders>
              <w:top w:val="single" w:sz="12" w:space="0" w:color="auto"/>
              <w:right w:val="single" w:sz="12" w:space="0" w:color="auto"/>
            </w:tcBorders>
            <w:shd w:val="clear" w:color="000000" w:fill="FFFFFF"/>
            <w:noWrap/>
            <w:vAlign w:val="center"/>
            <w:hideMark/>
          </w:tcPr>
          <w:p w14:paraId="1B96AA44" w14:textId="77777777" w:rsidR="008D06F2" w:rsidRPr="000A7FD1" w:rsidRDefault="008D06F2" w:rsidP="008D06F2">
            <w:pPr>
              <w:widowControl/>
              <w:adjustRightInd/>
              <w:spacing w:before="0" w:after="0"/>
              <w:textAlignment w:val="auto"/>
              <w:rPr>
                <w:rFonts w:cs="Arial"/>
                <w:b/>
                <w:bCs/>
                <w:color w:val="000000"/>
                <w:sz w:val="28"/>
                <w:szCs w:val="28"/>
              </w:rPr>
            </w:pPr>
            <w:r w:rsidRPr="000A7FD1">
              <w:rPr>
                <w:rFonts w:cs="Arial"/>
                <w:b/>
                <w:bCs/>
                <w:color w:val="000000"/>
                <w:sz w:val="28"/>
                <w:szCs w:val="28"/>
              </w:rPr>
              <w:t> </w:t>
            </w:r>
          </w:p>
        </w:tc>
      </w:tr>
      <w:tr w:rsidR="008D06F2" w:rsidRPr="000A7FD1" w14:paraId="537D5B45" w14:textId="77777777" w:rsidTr="003B3190">
        <w:trPr>
          <w:cantSplit/>
          <w:trHeight w:val="277"/>
        </w:trPr>
        <w:tc>
          <w:tcPr>
            <w:tcW w:w="4198" w:type="dxa"/>
            <w:gridSpan w:val="2"/>
            <w:tcBorders>
              <w:left w:val="single" w:sz="12" w:space="0" w:color="auto"/>
            </w:tcBorders>
            <w:shd w:val="clear" w:color="000000" w:fill="FFFFFF"/>
            <w:noWrap/>
            <w:vAlign w:val="bottom"/>
            <w:hideMark/>
          </w:tcPr>
          <w:p w14:paraId="118E1DA8" w14:textId="7C805625" w:rsidR="008D06F2" w:rsidRPr="000A7FD1" w:rsidRDefault="008D06F2" w:rsidP="008D06F2">
            <w:pPr>
              <w:widowControl/>
              <w:adjustRightInd/>
              <w:spacing w:before="0" w:after="0"/>
              <w:textAlignment w:val="auto"/>
              <w:rPr>
                <w:rFonts w:cs="Arial"/>
                <w:b/>
                <w:bCs/>
                <w:color w:val="000000"/>
                <w:sz w:val="20"/>
                <w:szCs w:val="20"/>
              </w:rPr>
            </w:pPr>
            <w:r w:rsidRPr="000A7FD1">
              <w:rPr>
                <w:rFonts w:cs="Arial"/>
                <w:b/>
                <w:bCs/>
                <w:color w:val="000000"/>
                <w:sz w:val="20"/>
                <w:szCs w:val="20"/>
              </w:rPr>
              <w:t xml:space="preserve">DATE OF FINANCIAL STATEMENTS: </w:t>
            </w:r>
          </w:p>
        </w:tc>
        <w:tc>
          <w:tcPr>
            <w:tcW w:w="3558" w:type="dxa"/>
            <w:gridSpan w:val="2"/>
            <w:tcBorders>
              <w:top w:val="single" w:sz="8" w:space="0" w:color="auto"/>
              <w:bottom w:val="single" w:sz="8" w:space="0" w:color="auto"/>
            </w:tcBorders>
            <w:shd w:val="clear" w:color="auto" w:fill="auto"/>
            <w:noWrap/>
            <w:vAlign w:val="bottom"/>
            <w:hideMark/>
          </w:tcPr>
          <w:p w14:paraId="141464A4"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5038" w:type="dxa"/>
            <w:gridSpan w:val="3"/>
            <w:shd w:val="clear" w:color="auto" w:fill="auto"/>
            <w:noWrap/>
            <w:vAlign w:val="bottom"/>
            <w:hideMark/>
          </w:tcPr>
          <w:p w14:paraId="23FB467D" w14:textId="1F9495CA" w:rsidR="008D06F2" w:rsidRPr="000A7FD1" w:rsidRDefault="008D06F2" w:rsidP="008D06F2">
            <w:pPr>
              <w:widowControl/>
              <w:adjustRightInd/>
              <w:spacing w:before="0" w:after="0"/>
              <w:textAlignment w:val="auto"/>
              <w:rPr>
                <w:rFonts w:cs="Arial"/>
                <w:b/>
                <w:bCs/>
                <w:sz w:val="28"/>
                <w:szCs w:val="28"/>
              </w:rPr>
            </w:pPr>
            <w:r w:rsidRPr="000A7FD1">
              <w:rPr>
                <w:rFonts w:cs="Arial"/>
                <w:b/>
                <w:bCs/>
                <w:sz w:val="28"/>
                <w:szCs w:val="28"/>
              </w:rPr>
              <w:t xml:space="preserve">           LINE ITEM RISK ANALYSIS</w:t>
            </w:r>
          </w:p>
          <w:p w14:paraId="64C67DF5" w14:textId="1C28D404" w:rsidR="008D06F2" w:rsidRPr="000A7FD1" w:rsidRDefault="008D06F2" w:rsidP="008D06F2">
            <w:pPr>
              <w:widowControl/>
              <w:adjustRightInd/>
              <w:spacing w:before="0" w:after="0"/>
              <w:textAlignment w:val="auto"/>
              <w:rPr>
                <w:rFonts w:cs="Arial"/>
                <w:b/>
                <w:bCs/>
                <w:sz w:val="28"/>
                <w:szCs w:val="28"/>
              </w:rPr>
            </w:pPr>
          </w:p>
        </w:tc>
        <w:tc>
          <w:tcPr>
            <w:tcW w:w="1793" w:type="dxa"/>
            <w:shd w:val="clear" w:color="auto" w:fill="auto"/>
            <w:noWrap/>
            <w:vAlign w:val="bottom"/>
            <w:hideMark/>
          </w:tcPr>
          <w:p w14:paraId="2DDB10EC" w14:textId="77777777" w:rsidR="008D06F2" w:rsidRPr="000A7FD1" w:rsidRDefault="008D06F2" w:rsidP="008D06F2">
            <w:pPr>
              <w:widowControl/>
              <w:adjustRightInd/>
              <w:spacing w:before="0" w:after="0"/>
              <w:textAlignment w:val="auto"/>
              <w:rPr>
                <w:rFonts w:ascii="Times New Roman" w:hAnsi="Times New Roman"/>
                <w:sz w:val="20"/>
                <w:szCs w:val="20"/>
              </w:rPr>
            </w:pPr>
          </w:p>
        </w:tc>
        <w:tc>
          <w:tcPr>
            <w:tcW w:w="2077" w:type="dxa"/>
            <w:shd w:val="clear" w:color="auto" w:fill="auto"/>
            <w:noWrap/>
            <w:vAlign w:val="bottom"/>
            <w:hideMark/>
          </w:tcPr>
          <w:p w14:paraId="4824FD4F" w14:textId="77777777" w:rsidR="008D06F2" w:rsidRPr="000A7FD1" w:rsidRDefault="008D06F2" w:rsidP="008D06F2">
            <w:pPr>
              <w:widowControl/>
              <w:adjustRightInd/>
              <w:spacing w:before="0" w:after="0"/>
              <w:textAlignment w:val="auto"/>
              <w:rPr>
                <w:rFonts w:cs="Arial"/>
                <w:color w:val="000000"/>
              </w:rPr>
            </w:pPr>
            <w:r w:rsidRPr="000A7FD1">
              <w:rPr>
                <w:rFonts w:cs="Arial"/>
                <w:color w:val="000000"/>
              </w:rPr>
              <w:t> </w:t>
            </w:r>
          </w:p>
        </w:tc>
        <w:tc>
          <w:tcPr>
            <w:tcW w:w="976" w:type="dxa"/>
            <w:tcBorders>
              <w:right w:val="single" w:sz="12" w:space="0" w:color="auto"/>
            </w:tcBorders>
            <w:shd w:val="clear" w:color="000000" w:fill="FFFFFF"/>
            <w:noWrap/>
            <w:vAlign w:val="bottom"/>
            <w:hideMark/>
          </w:tcPr>
          <w:p w14:paraId="4E1695CB"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r>
      <w:tr w:rsidR="008D06F2" w:rsidRPr="000A7FD1" w14:paraId="3B92624C" w14:textId="77777777" w:rsidTr="003B3190">
        <w:trPr>
          <w:cantSplit/>
          <w:trHeight w:val="295"/>
        </w:trPr>
        <w:tc>
          <w:tcPr>
            <w:tcW w:w="4198" w:type="dxa"/>
            <w:gridSpan w:val="2"/>
            <w:tcBorders>
              <w:left w:val="single" w:sz="12" w:space="0" w:color="auto"/>
            </w:tcBorders>
            <w:shd w:val="clear" w:color="auto" w:fill="auto"/>
            <w:noWrap/>
            <w:vAlign w:val="bottom"/>
            <w:hideMark/>
          </w:tcPr>
          <w:p w14:paraId="64686128" w14:textId="2B191000" w:rsidR="008D06F2" w:rsidRPr="000A7FD1" w:rsidRDefault="008D06F2" w:rsidP="008D06F2">
            <w:pPr>
              <w:widowControl/>
              <w:adjustRightInd/>
              <w:spacing w:before="0" w:after="0"/>
              <w:textAlignment w:val="auto"/>
              <w:rPr>
                <w:rFonts w:cs="Arial"/>
                <w:color w:val="000000"/>
                <w:sz w:val="20"/>
                <w:szCs w:val="20"/>
              </w:rPr>
            </w:pPr>
            <w:r w:rsidRPr="000A7FD1">
              <w:rPr>
                <w:rFonts w:cs="Arial"/>
                <w:b/>
                <w:bCs/>
                <w:color w:val="000000"/>
                <w:sz w:val="20"/>
                <w:szCs w:val="20"/>
              </w:rPr>
              <w:t>LINE ITEM &amp; TOTAL:</w:t>
            </w:r>
          </w:p>
        </w:tc>
        <w:tc>
          <w:tcPr>
            <w:tcW w:w="1572" w:type="dxa"/>
            <w:tcBorders>
              <w:bottom w:val="single" w:sz="8" w:space="0" w:color="auto"/>
            </w:tcBorders>
            <w:shd w:val="clear" w:color="000000" w:fill="FFFFFF"/>
            <w:vAlign w:val="bottom"/>
            <w:hideMark/>
          </w:tcPr>
          <w:p w14:paraId="13641DEA"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xml:space="preserve">[e.g., Cash </w:t>
            </w:r>
          </w:p>
        </w:tc>
        <w:tc>
          <w:tcPr>
            <w:tcW w:w="1986" w:type="dxa"/>
            <w:tcBorders>
              <w:bottom w:val="single" w:sz="8" w:space="0" w:color="auto"/>
            </w:tcBorders>
            <w:shd w:val="clear" w:color="000000" w:fill="FFFFFF"/>
            <w:vAlign w:val="bottom"/>
            <w:hideMark/>
          </w:tcPr>
          <w:p w14:paraId="02DC6072"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$100,000,000]</w:t>
            </w:r>
          </w:p>
        </w:tc>
        <w:tc>
          <w:tcPr>
            <w:tcW w:w="1456" w:type="dxa"/>
            <w:shd w:val="clear" w:color="auto" w:fill="auto"/>
            <w:noWrap/>
            <w:vAlign w:val="bottom"/>
            <w:hideMark/>
          </w:tcPr>
          <w:p w14:paraId="5B6C9EFF" w14:textId="77777777" w:rsidR="008D06F2" w:rsidRPr="000A7FD1" w:rsidRDefault="008D06F2" w:rsidP="008D06F2">
            <w:pPr>
              <w:widowControl/>
              <w:adjustRightInd/>
              <w:spacing w:before="0" w:after="0"/>
              <w:textAlignment w:val="auto"/>
              <w:rPr>
                <w:rFonts w:cs="Arial"/>
                <w:color w:val="000000"/>
              </w:rPr>
            </w:pPr>
          </w:p>
        </w:tc>
        <w:tc>
          <w:tcPr>
            <w:tcW w:w="1768" w:type="dxa"/>
            <w:shd w:val="clear" w:color="auto" w:fill="auto"/>
            <w:noWrap/>
            <w:vAlign w:val="bottom"/>
            <w:hideMark/>
          </w:tcPr>
          <w:p w14:paraId="711C9592" w14:textId="77777777" w:rsidR="008D06F2" w:rsidRPr="000A7FD1" w:rsidRDefault="008D06F2" w:rsidP="008D06F2">
            <w:pPr>
              <w:widowControl/>
              <w:adjustRightInd/>
              <w:spacing w:before="0" w:after="0"/>
              <w:textAlignment w:val="auto"/>
              <w:rPr>
                <w:rFonts w:cs="Arial"/>
                <w:color w:val="000000"/>
              </w:rPr>
            </w:pPr>
            <w:r w:rsidRPr="000A7FD1">
              <w:rPr>
                <w:rFonts w:cs="Arial"/>
                <w:color w:val="000000"/>
              </w:rPr>
              <w:t> </w:t>
            </w:r>
          </w:p>
        </w:tc>
        <w:tc>
          <w:tcPr>
            <w:tcW w:w="3607" w:type="dxa"/>
            <w:gridSpan w:val="2"/>
            <w:shd w:val="clear" w:color="auto" w:fill="auto"/>
            <w:noWrap/>
            <w:vAlign w:val="bottom"/>
            <w:hideMark/>
          </w:tcPr>
          <w:p w14:paraId="3743C596" w14:textId="6474171A" w:rsidR="008D06F2" w:rsidRPr="000A7FD1" w:rsidRDefault="008D06F2" w:rsidP="009F46DC">
            <w:pPr>
              <w:widowControl/>
              <w:adjustRightInd/>
              <w:spacing w:before="0" w:after="0"/>
              <w:textAlignment w:val="auto"/>
              <w:rPr>
                <w:rFonts w:cs="Arial"/>
                <w:color w:val="000000"/>
              </w:rPr>
            </w:pPr>
            <w:r w:rsidRPr="000A7FD1">
              <w:rPr>
                <w:rFonts w:cs="Arial"/>
                <w:color w:val="000000"/>
              </w:rPr>
              <w:t> </w:t>
            </w:r>
            <w:r w:rsidR="009F46DC" w:rsidRPr="000A7FD1">
              <w:rPr>
                <w:rFonts w:cs="Arial"/>
                <w:color w:val="000000"/>
              </w:rPr>
              <w:t xml:space="preserve">        </w:t>
            </w:r>
          </w:p>
        </w:tc>
        <w:tc>
          <w:tcPr>
            <w:tcW w:w="2077" w:type="dxa"/>
            <w:shd w:val="clear" w:color="auto" w:fill="auto"/>
            <w:noWrap/>
            <w:vAlign w:val="bottom"/>
            <w:hideMark/>
          </w:tcPr>
          <w:p w14:paraId="3DFFDCA4" w14:textId="77777777" w:rsidR="008D06F2" w:rsidRPr="000A7FD1" w:rsidRDefault="008D06F2" w:rsidP="008D06F2">
            <w:pPr>
              <w:widowControl/>
              <w:adjustRightInd/>
              <w:spacing w:before="0" w:after="0"/>
              <w:textAlignment w:val="auto"/>
              <w:rPr>
                <w:rFonts w:cs="Arial"/>
                <w:color w:val="000000"/>
              </w:rPr>
            </w:pPr>
            <w:r w:rsidRPr="000A7FD1">
              <w:rPr>
                <w:rFonts w:cs="Arial"/>
                <w:color w:val="000000"/>
              </w:rPr>
              <w:t> </w:t>
            </w:r>
          </w:p>
        </w:tc>
        <w:tc>
          <w:tcPr>
            <w:tcW w:w="976" w:type="dxa"/>
            <w:tcBorders>
              <w:right w:val="single" w:sz="12" w:space="0" w:color="auto"/>
            </w:tcBorders>
            <w:shd w:val="clear" w:color="000000" w:fill="FFFFFF"/>
            <w:noWrap/>
            <w:vAlign w:val="bottom"/>
            <w:hideMark/>
          </w:tcPr>
          <w:p w14:paraId="1BC04E8E"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r>
      <w:tr w:rsidR="008D06F2" w:rsidRPr="000A7FD1" w14:paraId="566F4EE8" w14:textId="77777777" w:rsidTr="003B3190">
        <w:trPr>
          <w:cantSplit/>
          <w:trHeight w:val="340"/>
        </w:trPr>
        <w:tc>
          <w:tcPr>
            <w:tcW w:w="4198" w:type="dxa"/>
            <w:gridSpan w:val="2"/>
            <w:tcBorders>
              <w:left w:val="single" w:sz="12" w:space="0" w:color="auto"/>
            </w:tcBorders>
            <w:shd w:val="clear" w:color="auto" w:fill="auto"/>
            <w:vAlign w:val="bottom"/>
            <w:hideMark/>
          </w:tcPr>
          <w:p w14:paraId="0AD47C71" w14:textId="77777777" w:rsidR="008D06F2" w:rsidRPr="000A7FD1" w:rsidRDefault="008D06F2" w:rsidP="008D06F2">
            <w:pPr>
              <w:widowControl/>
              <w:adjustRightInd/>
              <w:spacing w:before="0" w:after="0"/>
              <w:textAlignment w:val="auto"/>
              <w:rPr>
                <w:rFonts w:cs="Arial"/>
                <w:b/>
                <w:bCs/>
                <w:color w:val="000000"/>
                <w:sz w:val="20"/>
                <w:szCs w:val="20"/>
              </w:rPr>
            </w:pPr>
            <w:r w:rsidRPr="000A7FD1">
              <w:rPr>
                <w:rFonts w:cs="Arial"/>
                <w:b/>
                <w:bCs/>
                <w:color w:val="000000"/>
                <w:sz w:val="20"/>
                <w:szCs w:val="20"/>
              </w:rPr>
              <w:t>ACCOUNTS &amp; BALANCES:</w:t>
            </w:r>
          </w:p>
        </w:tc>
        <w:tc>
          <w:tcPr>
            <w:tcW w:w="1572" w:type="dxa"/>
            <w:tcBorders>
              <w:top w:val="single" w:sz="8" w:space="0" w:color="auto"/>
              <w:bottom w:val="single" w:sz="8" w:space="0" w:color="auto"/>
            </w:tcBorders>
            <w:shd w:val="clear" w:color="auto" w:fill="auto"/>
            <w:vAlign w:val="center"/>
            <w:hideMark/>
          </w:tcPr>
          <w:p w14:paraId="14B6B62C" w14:textId="77777777" w:rsidR="008D06F2" w:rsidRPr="000A7FD1" w:rsidRDefault="008D06F2" w:rsidP="008D06F2">
            <w:pPr>
              <w:widowControl/>
              <w:adjustRightInd/>
              <w:spacing w:before="0" w:after="0"/>
              <w:textAlignment w:val="auto"/>
              <w:rPr>
                <w:rFonts w:cs="Arial"/>
                <w:b/>
                <w:bCs/>
                <w:color w:val="000000"/>
                <w:sz w:val="20"/>
                <w:szCs w:val="20"/>
              </w:rPr>
            </w:pPr>
            <w:r w:rsidRPr="000A7FD1">
              <w:rPr>
                <w:rFonts w:cs="Arial"/>
                <w:b/>
                <w:bCs/>
                <w:color w:val="000000"/>
                <w:sz w:val="20"/>
                <w:szCs w:val="20"/>
              </w:rPr>
              <w:t> </w:t>
            </w:r>
          </w:p>
        </w:tc>
        <w:tc>
          <w:tcPr>
            <w:tcW w:w="1986" w:type="dxa"/>
            <w:tcBorders>
              <w:top w:val="single" w:sz="8" w:space="0" w:color="auto"/>
              <w:bottom w:val="single" w:sz="8" w:space="0" w:color="auto"/>
            </w:tcBorders>
            <w:shd w:val="clear" w:color="auto" w:fill="auto"/>
            <w:vAlign w:val="bottom"/>
            <w:hideMark/>
          </w:tcPr>
          <w:p w14:paraId="40777586"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456" w:type="dxa"/>
            <w:shd w:val="clear" w:color="000000" w:fill="FFFFFF"/>
            <w:noWrap/>
            <w:vAlign w:val="bottom"/>
            <w:hideMark/>
          </w:tcPr>
          <w:p w14:paraId="41E470B8" w14:textId="77777777" w:rsidR="008D06F2" w:rsidRPr="000A7FD1" w:rsidRDefault="008D06F2" w:rsidP="008D06F2">
            <w:pPr>
              <w:widowControl/>
              <w:adjustRightInd/>
              <w:spacing w:before="0" w:after="0"/>
              <w:textAlignment w:val="auto"/>
              <w:rPr>
                <w:rFonts w:cs="Arial"/>
                <w:color w:val="000000"/>
              </w:rPr>
            </w:pPr>
            <w:r w:rsidRPr="000A7FD1">
              <w:rPr>
                <w:rFonts w:cs="Arial"/>
                <w:color w:val="000000"/>
              </w:rPr>
              <w:t> </w:t>
            </w:r>
          </w:p>
        </w:tc>
        <w:tc>
          <w:tcPr>
            <w:tcW w:w="1768" w:type="dxa"/>
            <w:shd w:val="clear" w:color="000000" w:fill="FFFFFF"/>
            <w:noWrap/>
            <w:vAlign w:val="bottom"/>
            <w:hideMark/>
          </w:tcPr>
          <w:p w14:paraId="73C510EB" w14:textId="77777777" w:rsidR="008D06F2" w:rsidRPr="000A7FD1" w:rsidRDefault="008D06F2" w:rsidP="008D06F2">
            <w:pPr>
              <w:widowControl/>
              <w:adjustRightInd/>
              <w:spacing w:before="0" w:after="0"/>
              <w:textAlignment w:val="auto"/>
              <w:rPr>
                <w:rFonts w:cs="Arial"/>
                <w:color w:val="000000"/>
              </w:rPr>
            </w:pPr>
            <w:r w:rsidRPr="000A7FD1">
              <w:rPr>
                <w:rFonts w:cs="Arial"/>
                <w:color w:val="000000"/>
              </w:rPr>
              <w:t> </w:t>
            </w:r>
          </w:p>
        </w:tc>
        <w:tc>
          <w:tcPr>
            <w:tcW w:w="3607" w:type="dxa"/>
            <w:gridSpan w:val="2"/>
            <w:shd w:val="clear" w:color="000000" w:fill="FFFFFF"/>
            <w:noWrap/>
            <w:vAlign w:val="bottom"/>
            <w:hideMark/>
          </w:tcPr>
          <w:p w14:paraId="72275484" w14:textId="76549175" w:rsidR="008D06F2" w:rsidRPr="000A7FD1" w:rsidRDefault="00DA2E32" w:rsidP="008D06F2">
            <w:pPr>
              <w:widowControl/>
              <w:adjustRightInd/>
              <w:spacing w:before="0" w:after="0"/>
              <w:jc w:val="right"/>
              <w:textAlignment w:val="auto"/>
              <w:rPr>
                <w:rFonts w:cs="Arial"/>
                <w:b/>
                <w:bCs/>
                <w:color w:val="000000"/>
                <w:sz w:val="20"/>
                <w:szCs w:val="20"/>
              </w:rPr>
            </w:pPr>
            <w:r w:rsidRPr="000A7FD1">
              <w:rPr>
                <w:rFonts w:cs="Arial"/>
                <w:b/>
                <w:bCs/>
                <w:color w:val="000000"/>
                <w:sz w:val="20"/>
                <w:szCs w:val="20"/>
              </w:rPr>
              <w:t>Preparer</w:t>
            </w:r>
            <w:r w:rsidR="008D06F2" w:rsidRPr="000A7FD1">
              <w:rPr>
                <w:rFonts w:cs="Arial"/>
                <w:b/>
                <w:bCs/>
                <w:color w:val="000000"/>
                <w:sz w:val="20"/>
                <w:szCs w:val="20"/>
              </w:rPr>
              <w:t xml:space="preserve"> and Date:</w:t>
            </w:r>
          </w:p>
        </w:tc>
        <w:tc>
          <w:tcPr>
            <w:tcW w:w="2077" w:type="dxa"/>
            <w:tcBorders>
              <w:bottom w:val="single" w:sz="8" w:space="0" w:color="auto"/>
            </w:tcBorders>
            <w:shd w:val="clear" w:color="000000" w:fill="FFFFFF"/>
            <w:noWrap/>
            <w:vAlign w:val="bottom"/>
            <w:hideMark/>
          </w:tcPr>
          <w:p w14:paraId="69E2330D"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976" w:type="dxa"/>
            <w:tcBorders>
              <w:right w:val="single" w:sz="12" w:space="0" w:color="auto"/>
            </w:tcBorders>
            <w:shd w:val="clear" w:color="000000" w:fill="FFFFFF"/>
            <w:noWrap/>
            <w:vAlign w:val="bottom"/>
            <w:hideMark/>
          </w:tcPr>
          <w:p w14:paraId="25CD7787" w14:textId="77777777" w:rsidR="008D06F2" w:rsidRPr="000A7FD1" w:rsidRDefault="008D06F2" w:rsidP="008D06F2">
            <w:pPr>
              <w:widowControl/>
              <w:adjustRightInd/>
              <w:spacing w:before="0" w:after="0"/>
              <w:textAlignment w:val="auto"/>
              <w:rPr>
                <w:rFonts w:cs="Arial"/>
                <w:color w:val="000000"/>
              </w:rPr>
            </w:pPr>
            <w:r w:rsidRPr="000A7FD1">
              <w:rPr>
                <w:rFonts w:cs="Arial"/>
                <w:color w:val="000000"/>
              </w:rPr>
              <w:t> </w:t>
            </w:r>
          </w:p>
        </w:tc>
      </w:tr>
      <w:tr w:rsidR="00DA2E32" w:rsidRPr="000A7FD1" w14:paraId="02506883" w14:textId="77777777" w:rsidTr="003B3190">
        <w:trPr>
          <w:cantSplit/>
          <w:trHeight w:val="340"/>
        </w:trPr>
        <w:tc>
          <w:tcPr>
            <w:tcW w:w="4198" w:type="dxa"/>
            <w:gridSpan w:val="2"/>
            <w:tcBorders>
              <w:left w:val="single" w:sz="12" w:space="0" w:color="auto"/>
            </w:tcBorders>
            <w:shd w:val="clear" w:color="auto" w:fill="auto"/>
            <w:vAlign w:val="bottom"/>
            <w:hideMark/>
          </w:tcPr>
          <w:p w14:paraId="4EF03812" w14:textId="77777777" w:rsidR="00DA2E32" w:rsidRPr="000A7FD1" w:rsidRDefault="00DA2E32" w:rsidP="008D06F2">
            <w:pPr>
              <w:widowControl/>
              <w:adjustRightInd/>
              <w:spacing w:before="0" w:after="0"/>
              <w:textAlignment w:val="auto"/>
              <w:rPr>
                <w:rFonts w:cs="Arial"/>
                <w:b/>
                <w:bCs/>
                <w:sz w:val="20"/>
                <w:szCs w:val="20"/>
              </w:rPr>
            </w:pPr>
            <w:r w:rsidRPr="000A7FD1">
              <w:rPr>
                <w:rFonts w:cs="Arial"/>
                <w:b/>
                <w:bCs/>
                <w:sz w:val="20"/>
                <w:szCs w:val="20"/>
              </w:rPr>
              <w:t>NOTE DISCLOSURES:</w:t>
            </w:r>
          </w:p>
        </w:tc>
        <w:tc>
          <w:tcPr>
            <w:tcW w:w="1572" w:type="dxa"/>
            <w:tcBorders>
              <w:top w:val="single" w:sz="8" w:space="0" w:color="auto"/>
              <w:bottom w:val="single" w:sz="8" w:space="0" w:color="auto"/>
            </w:tcBorders>
            <w:shd w:val="clear" w:color="auto" w:fill="auto"/>
            <w:vAlign w:val="bottom"/>
            <w:hideMark/>
          </w:tcPr>
          <w:p w14:paraId="70A3E6FF" w14:textId="77777777" w:rsidR="00DA2E32" w:rsidRPr="000A7FD1" w:rsidRDefault="00DA2E32" w:rsidP="008D06F2">
            <w:pPr>
              <w:widowControl/>
              <w:adjustRightInd/>
              <w:spacing w:before="0" w:after="0"/>
              <w:textAlignment w:val="auto"/>
              <w:rPr>
                <w:rFonts w:cs="Arial"/>
                <w:b/>
                <w:bCs/>
                <w:sz w:val="20"/>
                <w:szCs w:val="20"/>
              </w:rPr>
            </w:pPr>
            <w:r w:rsidRPr="000A7FD1">
              <w:rPr>
                <w:rFonts w:cs="Arial"/>
                <w:b/>
                <w:bCs/>
                <w:sz w:val="20"/>
                <w:szCs w:val="20"/>
              </w:rPr>
              <w:t> </w:t>
            </w:r>
          </w:p>
        </w:tc>
        <w:tc>
          <w:tcPr>
            <w:tcW w:w="1986" w:type="dxa"/>
            <w:tcBorders>
              <w:top w:val="single" w:sz="8" w:space="0" w:color="auto"/>
              <w:bottom w:val="single" w:sz="8" w:space="0" w:color="auto"/>
            </w:tcBorders>
            <w:shd w:val="clear" w:color="auto" w:fill="auto"/>
            <w:vAlign w:val="bottom"/>
            <w:hideMark/>
          </w:tcPr>
          <w:p w14:paraId="5AE1CA62" w14:textId="77777777" w:rsidR="00DA2E32" w:rsidRPr="000A7FD1" w:rsidRDefault="00DA2E3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456" w:type="dxa"/>
            <w:shd w:val="clear" w:color="auto" w:fill="auto"/>
            <w:vAlign w:val="bottom"/>
            <w:hideMark/>
          </w:tcPr>
          <w:p w14:paraId="231DF449" w14:textId="77777777" w:rsidR="00DA2E32" w:rsidRPr="000A7FD1" w:rsidRDefault="00DA2E32" w:rsidP="008D06F2">
            <w:pPr>
              <w:widowControl/>
              <w:adjustRightInd/>
              <w:spacing w:before="0" w:after="0"/>
              <w:textAlignment w:val="auto"/>
              <w:rPr>
                <w:rFonts w:cs="Arial"/>
                <w:color w:val="000000"/>
                <w:sz w:val="20"/>
                <w:szCs w:val="20"/>
              </w:rPr>
            </w:pPr>
          </w:p>
        </w:tc>
        <w:tc>
          <w:tcPr>
            <w:tcW w:w="1768" w:type="dxa"/>
            <w:shd w:val="clear" w:color="000000" w:fill="FFFFFF"/>
            <w:noWrap/>
            <w:vAlign w:val="bottom"/>
            <w:hideMark/>
          </w:tcPr>
          <w:p w14:paraId="4F315076" w14:textId="77777777" w:rsidR="00DA2E32" w:rsidRPr="000A7FD1" w:rsidRDefault="00DA2E32" w:rsidP="008D06F2">
            <w:pPr>
              <w:widowControl/>
              <w:adjustRightInd/>
              <w:spacing w:before="0" w:after="0"/>
              <w:textAlignment w:val="auto"/>
              <w:rPr>
                <w:rFonts w:cs="Arial"/>
                <w:color w:val="000000"/>
              </w:rPr>
            </w:pPr>
            <w:r w:rsidRPr="000A7FD1">
              <w:rPr>
                <w:rFonts w:cs="Arial"/>
                <w:color w:val="000000"/>
              </w:rPr>
              <w:t> </w:t>
            </w:r>
          </w:p>
        </w:tc>
        <w:tc>
          <w:tcPr>
            <w:tcW w:w="3607" w:type="dxa"/>
            <w:gridSpan w:val="2"/>
            <w:shd w:val="clear" w:color="000000" w:fill="FFFFFF"/>
            <w:noWrap/>
            <w:vAlign w:val="bottom"/>
            <w:hideMark/>
          </w:tcPr>
          <w:p w14:paraId="450314BC" w14:textId="41A4240E" w:rsidR="00DA2E32" w:rsidRPr="000A7FD1" w:rsidRDefault="00DA2E32" w:rsidP="00602497">
            <w:pPr>
              <w:widowControl/>
              <w:adjustRightInd/>
              <w:spacing w:before="0" w:after="0"/>
              <w:jc w:val="right"/>
              <w:textAlignment w:val="auto"/>
              <w:rPr>
                <w:rFonts w:cs="Arial"/>
                <w:b/>
                <w:bCs/>
                <w:color w:val="000000"/>
                <w:sz w:val="20"/>
                <w:szCs w:val="20"/>
              </w:rPr>
            </w:pPr>
            <w:r w:rsidRPr="000A7FD1">
              <w:rPr>
                <w:rFonts w:cs="Arial"/>
                <w:color w:val="000000"/>
              </w:rPr>
              <w:t> </w:t>
            </w:r>
            <w:r w:rsidRPr="000A7FD1">
              <w:rPr>
                <w:rFonts w:cs="Arial"/>
                <w:b/>
                <w:bCs/>
                <w:color w:val="000000"/>
                <w:sz w:val="20"/>
                <w:szCs w:val="20"/>
              </w:rPr>
              <w:t>        Primary Reviewer and Date:</w:t>
            </w:r>
          </w:p>
        </w:tc>
        <w:tc>
          <w:tcPr>
            <w:tcW w:w="2077" w:type="dxa"/>
            <w:tcBorders>
              <w:top w:val="single" w:sz="8" w:space="0" w:color="auto"/>
              <w:bottom w:val="single" w:sz="8" w:space="0" w:color="auto"/>
            </w:tcBorders>
            <w:shd w:val="clear" w:color="000000" w:fill="FFFFFF"/>
            <w:noWrap/>
            <w:vAlign w:val="bottom"/>
            <w:hideMark/>
          </w:tcPr>
          <w:p w14:paraId="223F427F" w14:textId="77777777" w:rsidR="00DA2E32" w:rsidRPr="000A7FD1" w:rsidRDefault="00DA2E3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976" w:type="dxa"/>
            <w:tcBorders>
              <w:right w:val="single" w:sz="12" w:space="0" w:color="auto"/>
            </w:tcBorders>
            <w:shd w:val="clear" w:color="000000" w:fill="FFFFFF"/>
            <w:noWrap/>
            <w:vAlign w:val="bottom"/>
            <w:hideMark/>
          </w:tcPr>
          <w:p w14:paraId="6FE6BF93" w14:textId="77777777" w:rsidR="00DA2E32" w:rsidRPr="000A7FD1" w:rsidRDefault="00DA2E32" w:rsidP="008D06F2">
            <w:pPr>
              <w:widowControl/>
              <w:adjustRightInd/>
              <w:spacing w:before="0" w:after="0"/>
              <w:textAlignment w:val="auto"/>
              <w:rPr>
                <w:rFonts w:cs="Arial"/>
                <w:color w:val="000000"/>
              </w:rPr>
            </w:pPr>
            <w:r w:rsidRPr="000A7FD1">
              <w:rPr>
                <w:rFonts w:cs="Arial"/>
                <w:color w:val="000000"/>
              </w:rPr>
              <w:t> </w:t>
            </w:r>
          </w:p>
        </w:tc>
      </w:tr>
      <w:tr w:rsidR="000F4134" w:rsidRPr="000A7FD1" w14:paraId="5E7F14CF" w14:textId="77777777" w:rsidTr="003B3190">
        <w:trPr>
          <w:cantSplit/>
          <w:trHeight w:val="160"/>
        </w:trPr>
        <w:tc>
          <w:tcPr>
            <w:tcW w:w="17640" w:type="dxa"/>
            <w:gridSpan w:val="10"/>
            <w:tcBorders>
              <w:left w:val="single" w:sz="12" w:space="0" w:color="auto"/>
              <w:bottom w:val="single" w:sz="12" w:space="0" w:color="auto"/>
              <w:right w:val="single" w:sz="12" w:space="0" w:color="auto"/>
            </w:tcBorders>
            <w:shd w:val="clear" w:color="000000" w:fill="FFFFFF"/>
            <w:vAlign w:val="bottom"/>
            <w:hideMark/>
          </w:tcPr>
          <w:p w14:paraId="1BE2951C" w14:textId="0102A824" w:rsidR="000F4134" w:rsidRPr="000A7FD1" w:rsidRDefault="000F4134" w:rsidP="000F4134">
            <w:pPr>
              <w:widowControl/>
              <w:adjustRightInd/>
              <w:spacing w:before="0" w:after="0"/>
              <w:textAlignment w:val="auto"/>
              <w:rPr>
                <w:rFonts w:cs="Arial"/>
                <w:b/>
                <w:bCs/>
              </w:rPr>
            </w:pPr>
          </w:p>
        </w:tc>
      </w:tr>
      <w:tr w:rsidR="008D06F2" w:rsidRPr="000A7FD1" w14:paraId="1043EE4A" w14:textId="77777777" w:rsidTr="003B3190">
        <w:trPr>
          <w:cantSplit/>
          <w:trHeight w:val="330"/>
        </w:trPr>
        <w:tc>
          <w:tcPr>
            <w:tcW w:w="10980" w:type="dxa"/>
            <w:gridSpan w:val="6"/>
            <w:tcBorders>
              <w:top w:val="single" w:sz="12" w:space="0" w:color="auto"/>
              <w:left w:val="single" w:sz="12" w:space="0" w:color="auto"/>
              <w:bottom w:val="single" w:sz="8" w:space="0" w:color="auto"/>
              <w:right w:val="single" w:sz="12" w:space="0" w:color="000000"/>
            </w:tcBorders>
            <w:shd w:val="clear" w:color="auto" w:fill="D9D9D9" w:themeFill="background1" w:themeFillShade="D9"/>
            <w:noWrap/>
            <w:vAlign w:val="bottom"/>
            <w:hideMark/>
          </w:tcPr>
          <w:p w14:paraId="266DF6A2" w14:textId="77777777" w:rsidR="008D06F2" w:rsidRPr="000A7FD1" w:rsidRDefault="008D06F2" w:rsidP="008D06F2">
            <w:pPr>
              <w:widowControl/>
              <w:adjustRightInd/>
              <w:spacing w:before="0" w:after="0"/>
              <w:jc w:val="center"/>
              <w:textAlignment w:val="auto"/>
              <w:rPr>
                <w:rFonts w:cs="Arial"/>
                <w:b/>
                <w:bCs/>
                <w:color w:val="000000"/>
                <w:sz w:val="20"/>
                <w:szCs w:val="20"/>
              </w:rPr>
            </w:pPr>
            <w:r w:rsidRPr="000A7FD1">
              <w:rPr>
                <w:rFonts w:cs="Arial"/>
                <w:b/>
                <w:bCs/>
                <w:color w:val="000000"/>
                <w:sz w:val="20"/>
                <w:szCs w:val="20"/>
              </w:rPr>
              <w:t>PLANNING PHASE</w:t>
            </w:r>
          </w:p>
        </w:tc>
        <w:tc>
          <w:tcPr>
            <w:tcW w:w="3607" w:type="dxa"/>
            <w:gridSpan w:val="2"/>
            <w:tcBorders>
              <w:top w:val="single" w:sz="12" w:space="0" w:color="auto"/>
              <w:left w:val="nil"/>
              <w:bottom w:val="single" w:sz="8" w:space="0" w:color="auto"/>
              <w:right w:val="nil"/>
            </w:tcBorders>
            <w:shd w:val="clear" w:color="auto" w:fill="D9D9D9" w:themeFill="background1" w:themeFillShade="D9"/>
            <w:noWrap/>
            <w:vAlign w:val="bottom"/>
            <w:hideMark/>
          </w:tcPr>
          <w:p w14:paraId="639B624A" w14:textId="77777777" w:rsidR="008D06F2" w:rsidRPr="000A7FD1" w:rsidRDefault="008D06F2" w:rsidP="008D06F2">
            <w:pPr>
              <w:widowControl/>
              <w:adjustRightInd/>
              <w:spacing w:before="0" w:after="0"/>
              <w:jc w:val="center"/>
              <w:textAlignment w:val="auto"/>
              <w:rPr>
                <w:rFonts w:cs="Arial"/>
                <w:b/>
                <w:bCs/>
                <w:color w:val="000000"/>
                <w:sz w:val="20"/>
                <w:szCs w:val="20"/>
              </w:rPr>
            </w:pPr>
            <w:r w:rsidRPr="000A7FD1">
              <w:rPr>
                <w:rFonts w:cs="Arial"/>
                <w:b/>
                <w:bCs/>
                <w:color w:val="000000"/>
                <w:sz w:val="20"/>
                <w:szCs w:val="20"/>
              </w:rPr>
              <w:t>INTERNAL CONTROL PHASE</w:t>
            </w:r>
          </w:p>
        </w:tc>
        <w:tc>
          <w:tcPr>
            <w:tcW w:w="3053" w:type="dxa"/>
            <w:gridSpan w:val="2"/>
            <w:tcBorders>
              <w:top w:val="single" w:sz="12" w:space="0" w:color="auto"/>
              <w:left w:val="single" w:sz="12" w:space="0" w:color="auto"/>
              <w:bottom w:val="single" w:sz="8" w:space="0" w:color="auto"/>
              <w:right w:val="single" w:sz="12" w:space="0" w:color="auto"/>
            </w:tcBorders>
            <w:shd w:val="clear" w:color="auto" w:fill="D9D9D9" w:themeFill="background1" w:themeFillShade="D9"/>
            <w:noWrap/>
            <w:vAlign w:val="bottom"/>
            <w:hideMark/>
          </w:tcPr>
          <w:p w14:paraId="5B16AEFC" w14:textId="77777777" w:rsidR="008D06F2" w:rsidRPr="000A7FD1" w:rsidRDefault="008D06F2" w:rsidP="008D06F2">
            <w:pPr>
              <w:widowControl/>
              <w:adjustRightInd/>
              <w:spacing w:before="0" w:after="0"/>
              <w:jc w:val="center"/>
              <w:textAlignment w:val="auto"/>
              <w:rPr>
                <w:rFonts w:cs="Arial"/>
                <w:b/>
                <w:bCs/>
                <w:color w:val="000000"/>
                <w:sz w:val="20"/>
                <w:szCs w:val="20"/>
              </w:rPr>
            </w:pPr>
            <w:r w:rsidRPr="000A7FD1">
              <w:rPr>
                <w:rFonts w:cs="Arial"/>
                <w:b/>
                <w:bCs/>
                <w:color w:val="000000"/>
                <w:sz w:val="20"/>
                <w:szCs w:val="20"/>
              </w:rPr>
              <w:t>TESTING PHASE</w:t>
            </w:r>
          </w:p>
        </w:tc>
      </w:tr>
      <w:tr w:rsidR="008D06F2" w:rsidRPr="000A7FD1" w14:paraId="1D01FE42" w14:textId="77777777" w:rsidTr="003B3190">
        <w:trPr>
          <w:cantSplit/>
          <w:trHeight w:val="637"/>
        </w:trPr>
        <w:tc>
          <w:tcPr>
            <w:tcW w:w="5770" w:type="dxa"/>
            <w:gridSpan w:val="3"/>
            <w:tcBorders>
              <w:top w:val="single" w:sz="8" w:space="0" w:color="auto"/>
              <w:left w:val="single" w:sz="12" w:space="0" w:color="auto"/>
              <w:bottom w:val="single" w:sz="8" w:space="0" w:color="auto"/>
              <w:right w:val="single" w:sz="8" w:space="0" w:color="000000"/>
            </w:tcBorders>
            <w:shd w:val="clear" w:color="000000" w:fill="FFFFFF"/>
            <w:vAlign w:val="center"/>
            <w:hideMark/>
          </w:tcPr>
          <w:p w14:paraId="19194036" w14:textId="77777777" w:rsidR="008D06F2" w:rsidRPr="000A7FD1" w:rsidRDefault="008D06F2" w:rsidP="008D06F2">
            <w:pPr>
              <w:widowControl/>
              <w:adjustRightInd/>
              <w:spacing w:before="0" w:after="0"/>
              <w:jc w:val="center"/>
              <w:textAlignment w:val="auto"/>
              <w:rPr>
                <w:rFonts w:cs="Arial"/>
                <w:b/>
                <w:bCs/>
                <w:color w:val="000000"/>
                <w:sz w:val="20"/>
                <w:szCs w:val="20"/>
              </w:rPr>
            </w:pPr>
            <w:r w:rsidRPr="000A7FD1">
              <w:rPr>
                <w:rFonts w:cs="Arial"/>
                <w:b/>
                <w:bCs/>
                <w:color w:val="000000"/>
                <w:sz w:val="20"/>
                <w:szCs w:val="20"/>
              </w:rPr>
              <w:br/>
              <w:t xml:space="preserve">IDENTIFIED RISKS OF MATERIAL MISSTATEMENT </w:t>
            </w:r>
            <w:r w:rsidRPr="000A7FD1">
              <w:rPr>
                <w:rFonts w:cs="Arial"/>
                <w:b/>
                <w:bCs/>
                <w:color w:val="000000"/>
                <w:sz w:val="20"/>
                <w:szCs w:val="20"/>
              </w:rPr>
              <w:br/>
              <w:t>AT THE ASSERTION LEVEL</w:t>
            </w:r>
          </w:p>
        </w:tc>
        <w:tc>
          <w:tcPr>
            <w:tcW w:w="5210" w:type="dxa"/>
            <w:gridSpan w:val="3"/>
            <w:tcBorders>
              <w:top w:val="single" w:sz="8" w:space="0" w:color="auto"/>
              <w:left w:val="nil"/>
              <w:bottom w:val="single" w:sz="8" w:space="0" w:color="auto"/>
              <w:right w:val="single" w:sz="12" w:space="0" w:color="000000"/>
            </w:tcBorders>
            <w:shd w:val="clear" w:color="000000" w:fill="FFFFFF"/>
            <w:vAlign w:val="center"/>
            <w:hideMark/>
          </w:tcPr>
          <w:p w14:paraId="78C11B59" w14:textId="77777777" w:rsidR="008D06F2" w:rsidRPr="000A7FD1" w:rsidRDefault="008D06F2" w:rsidP="008D06F2">
            <w:pPr>
              <w:widowControl/>
              <w:adjustRightInd/>
              <w:spacing w:before="0" w:after="0"/>
              <w:jc w:val="center"/>
              <w:textAlignment w:val="auto"/>
              <w:rPr>
                <w:rFonts w:cs="Arial"/>
                <w:b/>
                <w:bCs/>
                <w:color w:val="000000"/>
                <w:sz w:val="20"/>
                <w:szCs w:val="20"/>
              </w:rPr>
            </w:pPr>
            <w:r w:rsidRPr="000A7FD1">
              <w:rPr>
                <w:rFonts w:cs="Arial"/>
                <w:b/>
                <w:bCs/>
                <w:color w:val="000000"/>
                <w:sz w:val="20"/>
                <w:szCs w:val="20"/>
              </w:rPr>
              <w:t>INHERENT RISK ASSESSMENT</w:t>
            </w:r>
          </w:p>
        </w:tc>
        <w:tc>
          <w:tcPr>
            <w:tcW w:w="1814" w:type="dxa"/>
            <w:vMerge w:val="restart"/>
            <w:tcBorders>
              <w:top w:val="nil"/>
              <w:left w:val="single" w:sz="12" w:space="0" w:color="auto"/>
              <w:bottom w:val="single" w:sz="4" w:space="0" w:color="000000"/>
              <w:right w:val="single" w:sz="8" w:space="0" w:color="auto"/>
            </w:tcBorders>
            <w:shd w:val="clear" w:color="auto" w:fill="auto"/>
            <w:vAlign w:val="center"/>
            <w:hideMark/>
          </w:tcPr>
          <w:p w14:paraId="23432D54" w14:textId="52D20BF0" w:rsidR="008D06F2" w:rsidRPr="000A7FD1" w:rsidRDefault="008D06F2" w:rsidP="008D06F2">
            <w:pPr>
              <w:widowControl/>
              <w:adjustRightInd/>
              <w:spacing w:before="0" w:after="0"/>
              <w:jc w:val="center"/>
              <w:textAlignment w:val="auto"/>
              <w:rPr>
                <w:rFonts w:cs="Arial"/>
                <w:b/>
                <w:bCs/>
                <w:color w:val="000000"/>
                <w:sz w:val="20"/>
                <w:szCs w:val="20"/>
              </w:rPr>
            </w:pPr>
            <w:r w:rsidRPr="000A7FD1">
              <w:rPr>
                <w:rFonts w:cs="Arial"/>
                <w:b/>
                <w:bCs/>
                <w:color w:val="000000"/>
                <w:sz w:val="20"/>
                <w:szCs w:val="20"/>
              </w:rPr>
              <w:t xml:space="preserve">CONTROL RISK ASSESSMENT </w:t>
            </w:r>
            <w:r w:rsidRPr="000A7FD1">
              <w:rPr>
                <w:rFonts w:cs="Arial"/>
                <w:b/>
                <w:bCs/>
                <w:color w:val="000000"/>
                <w:sz w:val="20"/>
                <w:szCs w:val="20"/>
              </w:rPr>
              <w:br/>
            </w:r>
            <w:r w:rsidRPr="000A7FD1">
              <w:rPr>
                <w:rFonts w:cs="Arial"/>
                <w:color w:val="000000"/>
                <w:sz w:val="20"/>
                <w:szCs w:val="20"/>
              </w:rPr>
              <w:t xml:space="preserve">from SCEs </w:t>
            </w:r>
            <w:r w:rsidRPr="000A7FD1">
              <w:rPr>
                <w:rFonts w:cs="Arial"/>
                <w:color w:val="000000"/>
                <w:sz w:val="20"/>
                <w:szCs w:val="20"/>
              </w:rPr>
              <w:br/>
              <w:t>(low, moderate, high, N/A)</w:t>
            </w:r>
          </w:p>
        </w:tc>
        <w:tc>
          <w:tcPr>
            <w:tcW w:w="1793" w:type="dxa"/>
            <w:vMerge w:val="restart"/>
            <w:tcBorders>
              <w:top w:val="nil"/>
              <w:left w:val="single" w:sz="8" w:space="0" w:color="auto"/>
              <w:bottom w:val="single" w:sz="4" w:space="0" w:color="000000"/>
              <w:right w:val="single" w:sz="12" w:space="0" w:color="auto"/>
            </w:tcBorders>
            <w:shd w:val="clear" w:color="auto" w:fill="auto"/>
            <w:vAlign w:val="center"/>
            <w:hideMark/>
          </w:tcPr>
          <w:p w14:paraId="632EBD11" w14:textId="77777777" w:rsidR="008D06F2" w:rsidRPr="000A7FD1" w:rsidRDefault="008D06F2" w:rsidP="008D06F2">
            <w:pPr>
              <w:widowControl/>
              <w:adjustRightInd/>
              <w:spacing w:before="0" w:after="0"/>
              <w:jc w:val="center"/>
              <w:textAlignment w:val="auto"/>
              <w:rPr>
                <w:rFonts w:cs="Arial"/>
                <w:b/>
                <w:bCs/>
                <w:color w:val="000000"/>
                <w:sz w:val="20"/>
                <w:szCs w:val="20"/>
              </w:rPr>
            </w:pPr>
            <w:r w:rsidRPr="000A7FD1">
              <w:rPr>
                <w:rFonts w:cs="Arial"/>
                <w:b/>
                <w:bCs/>
                <w:color w:val="000000"/>
                <w:sz w:val="20"/>
                <w:szCs w:val="20"/>
              </w:rPr>
              <w:t>RISK OF MATERIAL MISSTATEMENT ASSESSMENT</w:t>
            </w:r>
            <w:r w:rsidRPr="000A7FD1">
              <w:rPr>
                <w:rFonts w:cs="Arial"/>
                <w:b/>
                <w:bCs/>
                <w:color w:val="000000"/>
                <w:sz w:val="20"/>
                <w:szCs w:val="20"/>
              </w:rPr>
              <w:br/>
            </w:r>
            <w:r w:rsidRPr="000A7FD1">
              <w:rPr>
                <w:rFonts w:cs="Arial"/>
                <w:color w:val="000000"/>
                <w:sz w:val="20"/>
                <w:szCs w:val="20"/>
              </w:rPr>
              <w:t xml:space="preserve">Combined Inherent Risk and </w:t>
            </w:r>
            <w:r w:rsidRPr="000A7FD1">
              <w:rPr>
                <w:rFonts w:cs="Arial"/>
                <w:color w:val="000000"/>
                <w:sz w:val="20"/>
                <w:szCs w:val="20"/>
              </w:rPr>
              <w:br/>
              <w:t xml:space="preserve">Control Risk </w:t>
            </w:r>
            <w:r w:rsidRPr="000A7FD1">
              <w:rPr>
                <w:rFonts w:cs="Arial"/>
                <w:b/>
                <w:bCs/>
                <w:color w:val="000000"/>
                <w:sz w:val="20"/>
                <w:szCs w:val="20"/>
              </w:rPr>
              <w:br/>
            </w:r>
            <w:r w:rsidRPr="000A7FD1">
              <w:rPr>
                <w:rFonts w:cs="Arial"/>
                <w:color w:val="000000"/>
                <w:sz w:val="20"/>
                <w:szCs w:val="20"/>
              </w:rPr>
              <w:t>(low, moderate, high, N/A)</w:t>
            </w:r>
          </w:p>
        </w:tc>
        <w:tc>
          <w:tcPr>
            <w:tcW w:w="3053" w:type="dxa"/>
            <w:gridSpan w:val="2"/>
            <w:tcBorders>
              <w:top w:val="single" w:sz="8" w:space="0" w:color="auto"/>
              <w:left w:val="nil"/>
              <w:bottom w:val="single" w:sz="8" w:space="0" w:color="auto"/>
              <w:right w:val="single" w:sz="12" w:space="0" w:color="auto"/>
            </w:tcBorders>
            <w:shd w:val="clear" w:color="auto" w:fill="auto"/>
            <w:vAlign w:val="center"/>
            <w:hideMark/>
          </w:tcPr>
          <w:p w14:paraId="13180EF1" w14:textId="77777777" w:rsidR="008D06F2" w:rsidRPr="000A7FD1" w:rsidRDefault="008D06F2" w:rsidP="008D06F2">
            <w:pPr>
              <w:widowControl/>
              <w:adjustRightInd/>
              <w:spacing w:before="0" w:after="0"/>
              <w:jc w:val="center"/>
              <w:textAlignment w:val="auto"/>
              <w:rPr>
                <w:rFonts w:cs="Arial"/>
                <w:b/>
                <w:bCs/>
                <w:color w:val="000000"/>
                <w:sz w:val="20"/>
                <w:szCs w:val="20"/>
              </w:rPr>
            </w:pPr>
            <w:r w:rsidRPr="000A7FD1">
              <w:rPr>
                <w:rFonts w:cs="Arial"/>
                <w:b/>
                <w:bCs/>
                <w:color w:val="000000"/>
                <w:sz w:val="20"/>
                <w:szCs w:val="20"/>
              </w:rPr>
              <w:t>SUBSTANTIVE AUDIT PROCEDURES</w:t>
            </w:r>
          </w:p>
        </w:tc>
      </w:tr>
      <w:tr w:rsidR="008D06F2" w:rsidRPr="000A7FD1" w14:paraId="2FFF2A84" w14:textId="77777777" w:rsidTr="003B3190">
        <w:trPr>
          <w:cantSplit/>
          <w:trHeight w:val="1395"/>
        </w:trPr>
        <w:tc>
          <w:tcPr>
            <w:tcW w:w="1635" w:type="dxa"/>
            <w:tcBorders>
              <w:top w:val="nil"/>
              <w:left w:val="single" w:sz="12" w:space="0" w:color="auto"/>
              <w:bottom w:val="single" w:sz="4" w:space="0" w:color="auto"/>
              <w:right w:val="single" w:sz="4" w:space="0" w:color="auto"/>
            </w:tcBorders>
            <w:shd w:val="clear" w:color="auto" w:fill="auto"/>
            <w:vAlign w:val="center"/>
            <w:hideMark/>
          </w:tcPr>
          <w:p w14:paraId="7083E11F" w14:textId="760C3DFA" w:rsidR="008D06F2" w:rsidRPr="000A7FD1" w:rsidRDefault="008D06F2" w:rsidP="008D06F2">
            <w:pPr>
              <w:widowControl/>
              <w:adjustRightInd/>
              <w:spacing w:before="0" w:after="0"/>
              <w:jc w:val="center"/>
              <w:textAlignment w:val="auto"/>
              <w:rPr>
                <w:rFonts w:cs="Arial"/>
                <w:b/>
                <w:bCs/>
                <w:color w:val="000000"/>
                <w:sz w:val="20"/>
                <w:szCs w:val="20"/>
              </w:rPr>
            </w:pPr>
            <w:r w:rsidRPr="000A7FD1">
              <w:rPr>
                <w:rFonts w:cs="Arial"/>
                <w:b/>
                <w:bCs/>
                <w:color w:val="000000"/>
                <w:sz w:val="20"/>
                <w:szCs w:val="20"/>
              </w:rPr>
              <w:t>Assertions</w:t>
            </w:r>
          </w:p>
        </w:tc>
        <w:tc>
          <w:tcPr>
            <w:tcW w:w="2563" w:type="dxa"/>
            <w:tcBorders>
              <w:top w:val="nil"/>
              <w:left w:val="nil"/>
              <w:bottom w:val="single" w:sz="4" w:space="0" w:color="auto"/>
              <w:right w:val="nil"/>
            </w:tcBorders>
            <w:shd w:val="clear" w:color="auto" w:fill="auto"/>
            <w:vAlign w:val="center"/>
            <w:hideMark/>
          </w:tcPr>
          <w:p w14:paraId="0E60567B" w14:textId="77777777" w:rsidR="008D06F2" w:rsidRPr="000A7FD1" w:rsidRDefault="008D06F2" w:rsidP="008D06F2">
            <w:pPr>
              <w:widowControl/>
              <w:adjustRightInd/>
              <w:spacing w:before="0" w:after="0"/>
              <w:jc w:val="center"/>
              <w:textAlignment w:val="auto"/>
              <w:rPr>
                <w:rFonts w:cs="Arial"/>
                <w:b/>
                <w:bCs/>
                <w:color w:val="000000"/>
                <w:sz w:val="20"/>
                <w:szCs w:val="20"/>
              </w:rPr>
            </w:pPr>
            <w:r w:rsidRPr="000A7FD1">
              <w:rPr>
                <w:rFonts w:cs="Arial"/>
                <w:b/>
                <w:bCs/>
                <w:color w:val="000000"/>
                <w:sz w:val="20"/>
                <w:szCs w:val="20"/>
              </w:rPr>
              <w:t>Identified Risks of Material Misstatement</w:t>
            </w:r>
          </w:p>
        </w:tc>
        <w:tc>
          <w:tcPr>
            <w:tcW w:w="1572" w:type="dxa"/>
            <w:tcBorders>
              <w:top w:val="nil"/>
              <w:left w:val="single" w:sz="4" w:space="0" w:color="auto"/>
              <w:bottom w:val="single" w:sz="4" w:space="0" w:color="auto"/>
              <w:right w:val="single" w:sz="4" w:space="0" w:color="auto"/>
            </w:tcBorders>
            <w:shd w:val="clear" w:color="auto" w:fill="auto"/>
            <w:vAlign w:val="center"/>
            <w:hideMark/>
          </w:tcPr>
          <w:p w14:paraId="20E255AC" w14:textId="1C95A25D" w:rsidR="008D06F2" w:rsidRPr="000A7FD1" w:rsidRDefault="008D06F2" w:rsidP="008D06F2">
            <w:pPr>
              <w:widowControl/>
              <w:adjustRightInd/>
              <w:spacing w:before="0" w:after="0"/>
              <w:jc w:val="center"/>
              <w:textAlignment w:val="auto"/>
              <w:rPr>
                <w:rFonts w:cs="Arial"/>
                <w:b/>
                <w:bCs/>
                <w:color w:val="000000"/>
                <w:sz w:val="20"/>
                <w:szCs w:val="20"/>
              </w:rPr>
            </w:pPr>
            <w:r w:rsidRPr="000A7FD1">
              <w:rPr>
                <w:rFonts w:cs="Arial"/>
                <w:b/>
                <w:bCs/>
                <w:color w:val="000000"/>
                <w:sz w:val="20"/>
                <w:szCs w:val="20"/>
              </w:rPr>
              <w:t>Classes of Transactions</w:t>
            </w:r>
            <w:r w:rsidRPr="000A7FD1">
              <w:rPr>
                <w:rFonts w:cs="Arial"/>
                <w:b/>
                <w:bCs/>
                <w:color w:val="000000"/>
                <w:sz w:val="20"/>
                <w:szCs w:val="20"/>
              </w:rPr>
              <w:br/>
              <w:t>&amp; SCE</w:t>
            </w:r>
            <w:r w:rsidR="00B73AD0" w:rsidRPr="000A7FD1">
              <w:rPr>
                <w:rFonts w:cs="Arial"/>
                <w:b/>
                <w:bCs/>
                <w:color w:val="000000"/>
                <w:sz w:val="20"/>
                <w:szCs w:val="20"/>
              </w:rPr>
              <w:t xml:space="preserve"> Reference</w:t>
            </w:r>
            <w:r w:rsidRPr="000A7FD1">
              <w:rPr>
                <w:rFonts w:cs="Arial"/>
                <w:b/>
                <w:bCs/>
                <w:color w:val="000000"/>
                <w:sz w:val="20"/>
                <w:szCs w:val="20"/>
              </w:rPr>
              <w:t>s</w:t>
            </w:r>
          </w:p>
        </w:tc>
        <w:tc>
          <w:tcPr>
            <w:tcW w:w="1986" w:type="dxa"/>
            <w:tcBorders>
              <w:top w:val="nil"/>
              <w:left w:val="single" w:sz="8" w:space="0" w:color="auto"/>
              <w:bottom w:val="single" w:sz="4" w:space="0" w:color="auto"/>
              <w:right w:val="nil"/>
            </w:tcBorders>
            <w:shd w:val="clear" w:color="auto" w:fill="auto"/>
            <w:vAlign w:val="center"/>
            <w:hideMark/>
          </w:tcPr>
          <w:p w14:paraId="25FD68AD" w14:textId="67FDF5D1" w:rsidR="008D06F2" w:rsidRPr="000A7FD1" w:rsidRDefault="008D06F2" w:rsidP="008D06F2">
            <w:pPr>
              <w:widowControl/>
              <w:adjustRightInd/>
              <w:spacing w:before="0" w:after="0"/>
              <w:jc w:val="center"/>
              <w:textAlignment w:val="auto"/>
              <w:rPr>
                <w:rFonts w:cs="Arial"/>
                <w:b/>
                <w:bCs/>
                <w:sz w:val="20"/>
                <w:szCs w:val="20"/>
              </w:rPr>
            </w:pPr>
            <w:r w:rsidRPr="000A7FD1">
              <w:rPr>
                <w:rFonts w:cs="Arial"/>
                <w:b/>
                <w:bCs/>
                <w:sz w:val="20"/>
                <w:szCs w:val="20"/>
              </w:rPr>
              <w:t>Inherent Risk Considerations</w:t>
            </w:r>
            <w:r w:rsidRPr="000A7FD1">
              <w:rPr>
                <w:rFonts w:cs="Arial"/>
                <w:b/>
                <w:bCs/>
                <w:sz w:val="20"/>
                <w:szCs w:val="20"/>
              </w:rPr>
              <w:br/>
            </w:r>
            <w:r w:rsidRPr="000A7FD1">
              <w:rPr>
                <w:rFonts w:cs="Arial"/>
                <w:sz w:val="20"/>
                <w:szCs w:val="20"/>
              </w:rPr>
              <w:t xml:space="preserve">(including fraud risk </w:t>
            </w:r>
            <w:r w:rsidR="002603C8" w:rsidRPr="000A7FD1">
              <w:rPr>
                <w:rFonts w:cs="Arial"/>
                <w:sz w:val="20"/>
                <w:szCs w:val="20"/>
              </w:rPr>
              <w:t xml:space="preserve">and noncompliance </w:t>
            </w:r>
            <w:r w:rsidRPr="000A7FD1">
              <w:rPr>
                <w:rFonts w:cs="Arial"/>
                <w:sz w:val="20"/>
                <w:szCs w:val="20"/>
              </w:rPr>
              <w:t>considerations)</w:t>
            </w:r>
          </w:p>
        </w:tc>
        <w:tc>
          <w:tcPr>
            <w:tcW w:w="1456" w:type="dxa"/>
            <w:tcBorders>
              <w:top w:val="nil"/>
              <w:left w:val="single" w:sz="4" w:space="0" w:color="auto"/>
              <w:bottom w:val="single" w:sz="4" w:space="0" w:color="auto"/>
              <w:right w:val="single" w:sz="4" w:space="0" w:color="auto"/>
            </w:tcBorders>
            <w:shd w:val="clear" w:color="auto" w:fill="auto"/>
            <w:vAlign w:val="center"/>
            <w:hideMark/>
          </w:tcPr>
          <w:p w14:paraId="64CDAA47" w14:textId="77777777" w:rsidR="008D06F2" w:rsidRPr="000A7FD1" w:rsidRDefault="008D06F2" w:rsidP="008D06F2">
            <w:pPr>
              <w:widowControl/>
              <w:adjustRightInd/>
              <w:spacing w:before="0" w:after="0"/>
              <w:jc w:val="center"/>
              <w:textAlignment w:val="auto"/>
              <w:rPr>
                <w:rFonts w:cs="Arial"/>
                <w:b/>
                <w:bCs/>
                <w:color w:val="000000"/>
                <w:sz w:val="20"/>
                <w:szCs w:val="20"/>
              </w:rPr>
            </w:pPr>
            <w:r w:rsidRPr="000A7FD1">
              <w:rPr>
                <w:rFonts w:cs="Arial"/>
                <w:b/>
                <w:bCs/>
                <w:color w:val="000000"/>
                <w:sz w:val="20"/>
                <w:szCs w:val="20"/>
              </w:rPr>
              <w:t>Inherent Risk Assessment</w:t>
            </w:r>
          </w:p>
          <w:p w14:paraId="05A56960" w14:textId="3799DA61" w:rsidR="008D06F2" w:rsidRPr="000A7FD1" w:rsidRDefault="008D06F2" w:rsidP="008D06F2">
            <w:pPr>
              <w:widowControl/>
              <w:adjustRightInd/>
              <w:spacing w:before="0" w:after="0"/>
              <w:jc w:val="center"/>
              <w:textAlignment w:val="auto"/>
              <w:rPr>
                <w:rFonts w:cs="Arial"/>
                <w:b/>
                <w:bCs/>
                <w:color w:val="000000"/>
                <w:sz w:val="20"/>
                <w:szCs w:val="20"/>
              </w:rPr>
            </w:pPr>
            <w:r w:rsidRPr="000A7FD1">
              <w:rPr>
                <w:rFonts w:cs="Arial"/>
                <w:color w:val="000000"/>
                <w:sz w:val="20"/>
                <w:szCs w:val="20"/>
              </w:rPr>
              <w:t>(remote, low, moderate, high)</w:t>
            </w:r>
            <w:r w:rsidR="009F46DC" w:rsidRPr="000A7FD1">
              <w:rPr>
                <w:rStyle w:val="FootnoteReference"/>
                <w:rFonts w:cs="Arial"/>
                <w:color w:val="000000"/>
                <w:sz w:val="20"/>
                <w:szCs w:val="20"/>
              </w:rPr>
              <w:footnoteReference w:id="26"/>
            </w:r>
          </w:p>
        </w:tc>
        <w:tc>
          <w:tcPr>
            <w:tcW w:w="1768" w:type="dxa"/>
            <w:tcBorders>
              <w:top w:val="nil"/>
              <w:left w:val="nil"/>
              <w:bottom w:val="single" w:sz="4" w:space="0" w:color="auto"/>
              <w:right w:val="single" w:sz="12" w:space="0" w:color="auto"/>
            </w:tcBorders>
            <w:shd w:val="clear" w:color="auto" w:fill="auto"/>
            <w:vAlign w:val="center"/>
            <w:hideMark/>
          </w:tcPr>
          <w:p w14:paraId="35C84804" w14:textId="77777777" w:rsidR="008D06F2" w:rsidRPr="000A7FD1" w:rsidRDefault="008D06F2" w:rsidP="008D06F2">
            <w:pPr>
              <w:widowControl/>
              <w:adjustRightInd/>
              <w:spacing w:before="0" w:after="0"/>
              <w:jc w:val="center"/>
              <w:textAlignment w:val="auto"/>
              <w:rPr>
                <w:rFonts w:cs="Arial"/>
                <w:b/>
                <w:bCs/>
                <w:color w:val="000000"/>
                <w:sz w:val="20"/>
                <w:szCs w:val="20"/>
              </w:rPr>
            </w:pPr>
            <w:r w:rsidRPr="000A7FD1">
              <w:rPr>
                <w:rFonts w:cs="Arial"/>
                <w:b/>
                <w:bCs/>
                <w:color w:val="000000"/>
                <w:sz w:val="20"/>
                <w:szCs w:val="20"/>
              </w:rPr>
              <w:t>Significant Risk?</w:t>
            </w:r>
            <w:r w:rsidRPr="000A7FD1">
              <w:rPr>
                <w:rFonts w:cs="Arial"/>
                <w:b/>
                <w:bCs/>
                <w:color w:val="000000"/>
                <w:sz w:val="20"/>
                <w:szCs w:val="20"/>
              </w:rPr>
              <w:br/>
            </w:r>
            <w:r w:rsidRPr="000A7FD1">
              <w:rPr>
                <w:rFonts w:cs="Arial"/>
                <w:color w:val="000000"/>
                <w:sz w:val="20"/>
                <w:szCs w:val="20"/>
              </w:rPr>
              <w:t>(yes, no, N/A)</w:t>
            </w:r>
          </w:p>
        </w:tc>
        <w:tc>
          <w:tcPr>
            <w:tcW w:w="1814" w:type="dxa"/>
            <w:vMerge/>
            <w:tcBorders>
              <w:top w:val="nil"/>
              <w:left w:val="single" w:sz="12" w:space="0" w:color="auto"/>
              <w:bottom w:val="single" w:sz="4" w:space="0" w:color="000000"/>
              <w:right w:val="single" w:sz="8" w:space="0" w:color="auto"/>
            </w:tcBorders>
            <w:vAlign w:val="center"/>
            <w:hideMark/>
          </w:tcPr>
          <w:p w14:paraId="5F7F8782" w14:textId="77777777" w:rsidR="008D06F2" w:rsidRPr="000A7FD1" w:rsidRDefault="008D06F2" w:rsidP="008D06F2">
            <w:pPr>
              <w:widowControl/>
              <w:adjustRightInd/>
              <w:spacing w:before="0" w:after="0"/>
              <w:textAlignment w:val="auto"/>
              <w:rPr>
                <w:rFonts w:cs="Arial"/>
                <w:b/>
                <w:bCs/>
                <w:color w:val="000000"/>
                <w:sz w:val="20"/>
                <w:szCs w:val="20"/>
              </w:rPr>
            </w:pPr>
          </w:p>
        </w:tc>
        <w:tc>
          <w:tcPr>
            <w:tcW w:w="1793" w:type="dxa"/>
            <w:vMerge/>
            <w:tcBorders>
              <w:top w:val="nil"/>
              <w:left w:val="single" w:sz="8" w:space="0" w:color="auto"/>
              <w:bottom w:val="single" w:sz="4" w:space="0" w:color="000000"/>
              <w:right w:val="single" w:sz="12" w:space="0" w:color="auto"/>
            </w:tcBorders>
            <w:vAlign w:val="center"/>
            <w:hideMark/>
          </w:tcPr>
          <w:p w14:paraId="3A7E8010" w14:textId="77777777" w:rsidR="008D06F2" w:rsidRPr="000A7FD1" w:rsidRDefault="008D06F2" w:rsidP="008D06F2">
            <w:pPr>
              <w:widowControl/>
              <w:adjustRightInd/>
              <w:spacing w:before="0" w:after="0"/>
              <w:textAlignment w:val="auto"/>
              <w:rPr>
                <w:rFonts w:cs="Arial"/>
                <w:b/>
                <w:bCs/>
                <w:color w:val="000000"/>
                <w:sz w:val="20"/>
                <w:szCs w:val="20"/>
              </w:rPr>
            </w:pPr>
          </w:p>
        </w:tc>
        <w:tc>
          <w:tcPr>
            <w:tcW w:w="2077" w:type="dxa"/>
            <w:tcBorders>
              <w:top w:val="nil"/>
              <w:left w:val="nil"/>
              <w:bottom w:val="single" w:sz="4" w:space="0" w:color="auto"/>
              <w:right w:val="single" w:sz="4" w:space="0" w:color="auto"/>
            </w:tcBorders>
            <w:shd w:val="clear" w:color="auto" w:fill="auto"/>
            <w:vAlign w:val="center"/>
            <w:hideMark/>
          </w:tcPr>
          <w:p w14:paraId="2203A6A1" w14:textId="77777777" w:rsidR="008D06F2" w:rsidRPr="000A7FD1" w:rsidRDefault="008D06F2" w:rsidP="008D06F2">
            <w:pPr>
              <w:widowControl/>
              <w:adjustRightInd/>
              <w:spacing w:before="0" w:after="0"/>
              <w:jc w:val="center"/>
              <w:textAlignment w:val="auto"/>
              <w:rPr>
                <w:rFonts w:cs="Arial"/>
                <w:b/>
                <w:bCs/>
                <w:color w:val="000000"/>
                <w:sz w:val="20"/>
                <w:szCs w:val="20"/>
              </w:rPr>
            </w:pPr>
            <w:r w:rsidRPr="000A7FD1">
              <w:rPr>
                <w:rFonts w:cs="Arial"/>
                <w:b/>
                <w:bCs/>
                <w:color w:val="000000"/>
                <w:sz w:val="20"/>
                <w:szCs w:val="20"/>
              </w:rPr>
              <w:t xml:space="preserve">Nature, Extent, &amp; Timing </w:t>
            </w:r>
            <w:r w:rsidRPr="000A7FD1">
              <w:rPr>
                <w:rFonts w:cs="Arial"/>
                <w:b/>
                <w:bCs/>
                <w:color w:val="000000"/>
                <w:sz w:val="20"/>
                <w:szCs w:val="20"/>
              </w:rPr>
              <w:br/>
            </w:r>
            <w:r w:rsidRPr="000A7FD1">
              <w:rPr>
                <w:rFonts w:cs="Arial"/>
                <w:color w:val="000000"/>
                <w:sz w:val="20"/>
                <w:szCs w:val="20"/>
              </w:rPr>
              <w:t>(interim/year-end)</w:t>
            </w:r>
          </w:p>
        </w:tc>
        <w:tc>
          <w:tcPr>
            <w:tcW w:w="976" w:type="dxa"/>
            <w:tcBorders>
              <w:top w:val="nil"/>
              <w:left w:val="nil"/>
              <w:bottom w:val="single" w:sz="4" w:space="0" w:color="auto"/>
              <w:right w:val="single" w:sz="12" w:space="0" w:color="auto"/>
            </w:tcBorders>
            <w:shd w:val="clear" w:color="auto" w:fill="auto"/>
            <w:vAlign w:val="center"/>
            <w:hideMark/>
          </w:tcPr>
          <w:p w14:paraId="011C268A" w14:textId="77777777" w:rsidR="008D06F2" w:rsidRPr="000A7FD1" w:rsidRDefault="008D06F2" w:rsidP="008D06F2">
            <w:pPr>
              <w:widowControl/>
              <w:adjustRightInd/>
              <w:spacing w:before="0" w:after="0"/>
              <w:jc w:val="center"/>
              <w:textAlignment w:val="auto"/>
              <w:rPr>
                <w:rFonts w:cs="Arial"/>
                <w:b/>
                <w:bCs/>
                <w:color w:val="000000"/>
                <w:sz w:val="20"/>
                <w:szCs w:val="20"/>
              </w:rPr>
            </w:pPr>
            <w:r w:rsidRPr="000A7FD1">
              <w:rPr>
                <w:rFonts w:cs="Arial"/>
                <w:b/>
                <w:bCs/>
                <w:color w:val="000000"/>
                <w:sz w:val="20"/>
                <w:szCs w:val="20"/>
              </w:rPr>
              <w:t xml:space="preserve">Audit Plan </w:t>
            </w:r>
            <w:r w:rsidRPr="000A7FD1">
              <w:rPr>
                <w:rFonts w:cs="Arial"/>
                <w:b/>
                <w:bCs/>
                <w:color w:val="000000"/>
                <w:sz w:val="20"/>
                <w:szCs w:val="20"/>
              </w:rPr>
              <w:br/>
              <w:t>Testing Step</w:t>
            </w:r>
          </w:p>
        </w:tc>
      </w:tr>
      <w:tr w:rsidR="002603C8" w:rsidRPr="000A7FD1" w14:paraId="695F62FE" w14:textId="77777777" w:rsidTr="003B3190">
        <w:trPr>
          <w:cantSplit/>
          <w:trHeight w:val="285"/>
        </w:trPr>
        <w:tc>
          <w:tcPr>
            <w:tcW w:w="1635" w:type="dxa"/>
            <w:tcBorders>
              <w:top w:val="nil"/>
              <w:left w:val="single" w:sz="12" w:space="0" w:color="auto"/>
              <w:bottom w:val="nil"/>
              <w:right w:val="single" w:sz="4" w:space="0" w:color="auto"/>
            </w:tcBorders>
            <w:shd w:val="clear" w:color="000000" w:fill="D9D9D9"/>
            <w:noWrap/>
            <w:vAlign w:val="bottom"/>
            <w:hideMark/>
          </w:tcPr>
          <w:p w14:paraId="6B0ECE23"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1</w:t>
            </w:r>
          </w:p>
        </w:tc>
        <w:tc>
          <w:tcPr>
            <w:tcW w:w="2563" w:type="dxa"/>
            <w:tcBorders>
              <w:top w:val="nil"/>
              <w:left w:val="nil"/>
              <w:bottom w:val="nil"/>
              <w:right w:val="nil"/>
            </w:tcBorders>
            <w:shd w:val="clear" w:color="000000" w:fill="D9D9D9"/>
            <w:noWrap/>
            <w:vAlign w:val="bottom"/>
            <w:hideMark/>
          </w:tcPr>
          <w:p w14:paraId="3207054C"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2</w:t>
            </w:r>
          </w:p>
        </w:tc>
        <w:tc>
          <w:tcPr>
            <w:tcW w:w="1572" w:type="dxa"/>
            <w:tcBorders>
              <w:top w:val="nil"/>
              <w:left w:val="single" w:sz="4" w:space="0" w:color="auto"/>
              <w:bottom w:val="nil"/>
              <w:right w:val="nil"/>
            </w:tcBorders>
            <w:shd w:val="clear" w:color="000000" w:fill="D9D9D9"/>
            <w:noWrap/>
            <w:vAlign w:val="bottom"/>
            <w:hideMark/>
          </w:tcPr>
          <w:p w14:paraId="5262F81E"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3</w:t>
            </w:r>
          </w:p>
        </w:tc>
        <w:tc>
          <w:tcPr>
            <w:tcW w:w="1986" w:type="dxa"/>
            <w:tcBorders>
              <w:top w:val="nil"/>
              <w:left w:val="single" w:sz="8" w:space="0" w:color="auto"/>
              <w:bottom w:val="nil"/>
              <w:right w:val="nil"/>
            </w:tcBorders>
            <w:shd w:val="clear" w:color="000000" w:fill="D9D9D9"/>
            <w:noWrap/>
            <w:vAlign w:val="bottom"/>
            <w:hideMark/>
          </w:tcPr>
          <w:p w14:paraId="39D589FD"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4</w:t>
            </w:r>
          </w:p>
        </w:tc>
        <w:tc>
          <w:tcPr>
            <w:tcW w:w="1456" w:type="dxa"/>
            <w:tcBorders>
              <w:top w:val="nil"/>
              <w:left w:val="single" w:sz="4" w:space="0" w:color="auto"/>
              <w:bottom w:val="nil"/>
              <w:right w:val="single" w:sz="4" w:space="0" w:color="auto"/>
            </w:tcBorders>
            <w:shd w:val="clear" w:color="000000" w:fill="D9D9D9"/>
            <w:noWrap/>
            <w:vAlign w:val="bottom"/>
            <w:hideMark/>
          </w:tcPr>
          <w:p w14:paraId="501B88C0"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5</w:t>
            </w:r>
          </w:p>
        </w:tc>
        <w:tc>
          <w:tcPr>
            <w:tcW w:w="1768" w:type="dxa"/>
            <w:tcBorders>
              <w:top w:val="nil"/>
              <w:left w:val="nil"/>
              <w:bottom w:val="nil"/>
              <w:right w:val="nil"/>
            </w:tcBorders>
            <w:shd w:val="clear" w:color="000000" w:fill="D9D9D9"/>
            <w:noWrap/>
            <w:vAlign w:val="bottom"/>
            <w:hideMark/>
          </w:tcPr>
          <w:p w14:paraId="4B59FF6C"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6</w:t>
            </w:r>
          </w:p>
        </w:tc>
        <w:tc>
          <w:tcPr>
            <w:tcW w:w="1814" w:type="dxa"/>
            <w:tcBorders>
              <w:top w:val="nil"/>
              <w:left w:val="single" w:sz="12" w:space="0" w:color="auto"/>
              <w:bottom w:val="nil"/>
              <w:right w:val="single" w:sz="8" w:space="0" w:color="auto"/>
            </w:tcBorders>
            <w:shd w:val="clear" w:color="000000" w:fill="D9D9D9"/>
            <w:noWrap/>
            <w:vAlign w:val="bottom"/>
            <w:hideMark/>
          </w:tcPr>
          <w:p w14:paraId="56A8AB9F"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7</w:t>
            </w:r>
          </w:p>
        </w:tc>
        <w:tc>
          <w:tcPr>
            <w:tcW w:w="1793" w:type="dxa"/>
            <w:tcBorders>
              <w:top w:val="nil"/>
              <w:left w:val="nil"/>
              <w:bottom w:val="nil"/>
              <w:right w:val="single" w:sz="12" w:space="0" w:color="auto"/>
            </w:tcBorders>
            <w:shd w:val="clear" w:color="000000" w:fill="D9D9D9"/>
            <w:noWrap/>
            <w:vAlign w:val="bottom"/>
            <w:hideMark/>
          </w:tcPr>
          <w:p w14:paraId="1FCCE75A"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8</w:t>
            </w:r>
          </w:p>
        </w:tc>
        <w:tc>
          <w:tcPr>
            <w:tcW w:w="2077" w:type="dxa"/>
            <w:tcBorders>
              <w:top w:val="nil"/>
              <w:left w:val="nil"/>
              <w:bottom w:val="nil"/>
              <w:right w:val="single" w:sz="4" w:space="0" w:color="auto"/>
            </w:tcBorders>
            <w:shd w:val="clear" w:color="000000" w:fill="D9D9D9"/>
            <w:noWrap/>
            <w:vAlign w:val="bottom"/>
            <w:hideMark/>
          </w:tcPr>
          <w:p w14:paraId="12D43373"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9</w:t>
            </w:r>
          </w:p>
        </w:tc>
        <w:tc>
          <w:tcPr>
            <w:tcW w:w="976" w:type="dxa"/>
            <w:tcBorders>
              <w:top w:val="nil"/>
              <w:left w:val="nil"/>
              <w:bottom w:val="nil"/>
              <w:right w:val="single" w:sz="12" w:space="0" w:color="auto"/>
            </w:tcBorders>
            <w:shd w:val="clear" w:color="000000" w:fill="D9D9D9"/>
            <w:noWrap/>
            <w:vAlign w:val="bottom"/>
            <w:hideMark/>
          </w:tcPr>
          <w:p w14:paraId="71C68EC0"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10</w:t>
            </w:r>
          </w:p>
        </w:tc>
      </w:tr>
      <w:tr w:rsidR="008D06F2" w:rsidRPr="000A7FD1" w14:paraId="3511DCB2" w14:textId="77777777" w:rsidTr="003B3190">
        <w:trPr>
          <w:cantSplit/>
          <w:trHeight w:val="255"/>
        </w:trPr>
        <w:tc>
          <w:tcPr>
            <w:tcW w:w="1635" w:type="dxa"/>
            <w:vMerge w:val="restart"/>
            <w:tcBorders>
              <w:top w:val="single" w:sz="4" w:space="0" w:color="auto"/>
              <w:left w:val="single" w:sz="12" w:space="0" w:color="auto"/>
              <w:bottom w:val="single" w:sz="4" w:space="0" w:color="000000"/>
              <w:right w:val="single" w:sz="4" w:space="0" w:color="auto"/>
            </w:tcBorders>
            <w:shd w:val="clear" w:color="auto" w:fill="auto"/>
            <w:hideMark/>
          </w:tcPr>
          <w:p w14:paraId="0B65A53C"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Existence or Occurrence</w:t>
            </w:r>
          </w:p>
        </w:tc>
        <w:tc>
          <w:tcPr>
            <w:tcW w:w="4135" w:type="dxa"/>
            <w:gridSpan w:val="2"/>
            <w:tcBorders>
              <w:top w:val="nil"/>
              <w:left w:val="nil"/>
              <w:bottom w:val="single" w:sz="4" w:space="0" w:color="auto"/>
              <w:right w:val="nil"/>
            </w:tcBorders>
            <w:shd w:val="clear" w:color="000000" w:fill="000000"/>
            <w:noWrap/>
            <w:hideMark/>
          </w:tcPr>
          <w:p w14:paraId="43488451" w14:textId="7B3BC060" w:rsidR="008D06F2" w:rsidRPr="000A7FD1" w:rsidRDefault="008D06F2" w:rsidP="008D06F2">
            <w:pPr>
              <w:widowControl/>
              <w:adjustRightInd/>
              <w:spacing w:before="0" w:after="0"/>
              <w:textAlignment w:val="auto"/>
              <w:rPr>
                <w:rFonts w:cs="Arial"/>
                <w:b/>
                <w:bCs/>
                <w:color w:val="FFFFFF"/>
                <w:sz w:val="20"/>
                <w:szCs w:val="20"/>
              </w:rPr>
            </w:pPr>
            <w:r w:rsidRPr="000A7FD1">
              <w:rPr>
                <w:rFonts w:cs="Arial"/>
                <w:b/>
                <w:bCs/>
                <w:color w:val="FFFFFF"/>
                <w:sz w:val="20"/>
                <w:szCs w:val="20"/>
              </w:rPr>
              <w:t>Transaction related </w:t>
            </w:r>
          </w:p>
        </w:tc>
        <w:tc>
          <w:tcPr>
            <w:tcW w:w="1986" w:type="dxa"/>
            <w:tcBorders>
              <w:top w:val="nil"/>
              <w:left w:val="nil"/>
              <w:bottom w:val="single" w:sz="4" w:space="0" w:color="auto"/>
              <w:right w:val="nil"/>
            </w:tcBorders>
            <w:shd w:val="clear" w:color="000000" w:fill="000000"/>
            <w:noWrap/>
            <w:hideMark/>
          </w:tcPr>
          <w:p w14:paraId="5008F1CA" w14:textId="77777777" w:rsidR="008D06F2" w:rsidRPr="000A7FD1" w:rsidRDefault="008D06F2" w:rsidP="008D06F2">
            <w:pPr>
              <w:widowControl/>
              <w:adjustRightInd/>
              <w:spacing w:before="0" w:after="0"/>
              <w:textAlignment w:val="auto"/>
              <w:rPr>
                <w:rFonts w:cs="Arial"/>
                <w:b/>
                <w:bCs/>
                <w:color w:val="FFFFFF"/>
                <w:sz w:val="20"/>
                <w:szCs w:val="20"/>
              </w:rPr>
            </w:pPr>
            <w:r w:rsidRPr="000A7FD1">
              <w:rPr>
                <w:rFonts w:cs="Arial"/>
                <w:b/>
                <w:bCs/>
                <w:color w:val="FFFFFF"/>
                <w:sz w:val="20"/>
                <w:szCs w:val="20"/>
              </w:rPr>
              <w:t> </w:t>
            </w:r>
          </w:p>
        </w:tc>
        <w:tc>
          <w:tcPr>
            <w:tcW w:w="1456" w:type="dxa"/>
            <w:tcBorders>
              <w:top w:val="nil"/>
              <w:left w:val="nil"/>
              <w:bottom w:val="single" w:sz="4" w:space="0" w:color="auto"/>
              <w:right w:val="nil"/>
            </w:tcBorders>
            <w:shd w:val="clear" w:color="000000" w:fill="000000"/>
            <w:noWrap/>
            <w:hideMark/>
          </w:tcPr>
          <w:p w14:paraId="0230AE79" w14:textId="77777777" w:rsidR="008D06F2" w:rsidRPr="000A7FD1" w:rsidRDefault="008D06F2" w:rsidP="008D06F2">
            <w:pPr>
              <w:widowControl/>
              <w:adjustRightInd/>
              <w:spacing w:before="0" w:after="0"/>
              <w:textAlignment w:val="auto"/>
              <w:rPr>
                <w:rFonts w:cs="Arial"/>
                <w:b/>
                <w:bCs/>
                <w:color w:val="FFFFFF"/>
                <w:sz w:val="20"/>
                <w:szCs w:val="20"/>
              </w:rPr>
            </w:pPr>
            <w:r w:rsidRPr="000A7FD1">
              <w:rPr>
                <w:rFonts w:cs="Arial"/>
                <w:b/>
                <w:bCs/>
                <w:color w:val="FFFFFF"/>
                <w:sz w:val="20"/>
                <w:szCs w:val="20"/>
              </w:rPr>
              <w:t> </w:t>
            </w:r>
          </w:p>
        </w:tc>
        <w:tc>
          <w:tcPr>
            <w:tcW w:w="1768" w:type="dxa"/>
            <w:tcBorders>
              <w:top w:val="nil"/>
              <w:left w:val="nil"/>
              <w:bottom w:val="single" w:sz="4" w:space="0" w:color="auto"/>
              <w:right w:val="nil"/>
            </w:tcBorders>
            <w:shd w:val="clear" w:color="000000" w:fill="000000"/>
            <w:noWrap/>
            <w:hideMark/>
          </w:tcPr>
          <w:p w14:paraId="20A21480" w14:textId="77777777" w:rsidR="008D06F2" w:rsidRPr="000A7FD1" w:rsidRDefault="008D06F2" w:rsidP="008D06F2">
            <w:pPr>
              <w:widowControl/>
              <w:adjustRightInd/>
              <w:spacing w:before="0" w:after="0"/>
              <w:textAlignment w:val="auto"/>
              <w:rPr>
                <w:rFonts w:cs="Arial"/>
                <w:b/>
                <w:bCs/>
                <w:color w:val="FFFFFF"/>
                <w:sz w:val="20"/>
                <w:szCs w:val="20"/>
              </w:rPr>
            </w:pPr>
            <w:r w:rsidRPr="000A7FD1">
              <w:rPr>
                <w:rFonts w:cs="Arial"/>
                <w:b/>
                <w:bCs/>
                <w:color w:val="FFFFFF"/>
                <w:sz w:val="20"/>
                <w:szCs w:val="20"/>
              </w:rPr>
              <w:t> </w:t>
            </w:r>
          </w:p>
        </w:tc>
        <w:tc>
          <w:tcPr>
            <w:tcW w:w="1814" w:type="dxa"/>
            <w:tcBorders>
              <w:top w:val="nil"/>
              <w:left w:val="nil"/>
              <w:bottom w:val="single" w:sz="4" w:space="0" w:color="auto"/>
              <w:right w:val="nil"/>
            </w:tcBorders>
            <w:shd w:val="clear" w:color="000000" w:fill="000000"/>
            <w:noWrap/>
            <w:hideMark/>
          </w:tcPr>
          <w:p w14:paraId="04F9435B" w14:textId="77777777" w:rsidR="008D06F2" w:rsidRPr="000A7FD1" w:rsidRDefault="008D06F2" w:rsidP="008D06F2">
            <w:pPr>
              <w:widowControl/>
              <w:adjustRightInd/>
              <w:spacing w:before="0" w:after="0"/>
              <w:textAlignment w:val="auto"/>
              <w:rPr>
                <w:rFonts w:cs="Arial"/>
                <w:b/>
                <w:bCs/>
                <w:color w:val="FFFFFF"/>
                <w:sz w:val="20"/>
                <w:szCs w:val="20"/>
              </w:rPr>
            </w:pPr>
            <w:r w:rsidRPr="000A7FD1">
              <w:rPr>
                <w:rFonts w:cs="Arial"/>
                <w:b/>
                <w:bCs/>
                <w:color w:val="FFFFFF"/>
                <w:sz w:val="20"/>
                <w:szCs w:val="20"/>
              </w:rPr>
              <w:t> </w:t>
            </w:r>
          </w:p>
        </w:tc>
        <w:tc>
          <w:tcPr>
            <w:tcW w:w="1793" w:type="dxa"/>
            <w:tcBorders>
              <w:top w:val="nil"/>
              <w:left w:val="nil"/>
              <w:bottom w:val="single" w:sz="4" w:space="0" w:color="auto"/>
              <w:right w:val="single" w:sz="12" w:space="0" w:color="auto"/>
            </w:tcBorders>
            <w:shd w:val="clear" w:color="000000" w:fill="000000"/>
            <w:noWrap/>
            <w:hideMark/>
          </w:tcPr>
          <w:p w14:paraId="69999DCC" w14:textId="77777777" w:rsidR="008D06F2" w:rsidRPr="000A7FD1" w:rsidRDefault="008D06F2" w:rsidP="008D06F2">
            <w:pPr>
              <w:widowControl/>
              <w:adjustRightInd/>
              <w:spacing w:before="0" w:after="0"/>
              <w:textAlignment w:val="auto"/>
              <w:rPr>
                <w:rFonts w:cs="Arial"/>
                <w:b/>
                <w:bCs/>
                <w:color w:val="FFFFFF"/>
                <w:sz w:val="20"/>
                <w:szCs w:val="20"/>
              </w:rPr>
            </w:pPr>
            <w:r w:rsidRPr="000A7FD1">
              <w:rPr>
                <w:rFonts w:cs="Arial"/>
                <w:b/>
                <w:bCs/>
                <w:color w:val="FFFFFF"/>
                <w:sz w:val="20"/>
                <w:szCs w:val="20"/>
              </w:rPr>
              <w:t> </w:t>
            </w:r>
          </w:p>
        </w:tc>
        <w:tc>
          <w:tcPr>
            <w:tcW w:w="2077" w:type="dxa"/>
            <w:tcBorders>
              <w:top w:val="single" w:sz="4" w:space="0" w:color="auto"/>
              <w:left w:val="nil"/>
              <w:bottom w:val="single" w:sz="4" w:space="0" w:color="auto"/>
              <w:right w:val="single" w:sz="4" w:space="0" w:color="auto"/>
            </w:tcBorders>
            <w:shd w:val="clear" w:color="000000" w:fill="000000"/>
            <w:hideMark/>
          </w:tcPr>
          <w:p w14:paraId="45478D9A" w14:textId="14F85EC1" w:rsidR="008D06F2" w:rsidRPr="000A7FD1" w:rsidRDefault="008D06F2" w:rsidP="008D06F2">
            <w:pPr>
              <w:widowControl/>
              <w:adjustRightInd/>
              <w:spacing w:before="0" w:after="0"/>
              <w:textAlignment w:val="auto"/>
              <w:rPr>
                <w:rFonts w:cs="Arial"/>
                <w:b/>
                <w:bCs/>
                <w:sz w:val="20"/>
                <w:szCs w:val="20"/>
                <w:u w:val="single"/>
              </w:rPr>
            </w:pPr>
          </w:p>
        </w:tc>
        <w:tc>
          <w:tcPr>
            <w:tcW w:w="976" w:type="dxa"/>
            <w:tcBorders>
              <w:top w:val="single" w:sz="4" w:space="0" w:color="auto"/>
              <w:left w:val="nil"/>
              <w:bottom w:val="nil"/>
              <w:right w:val="single" w:sz="12" w:space="0" w:color="auto"/>
            </w:tcBorders>
            <w:shd w:val="clear" w:color="000000" w:fill="000000"/>
            <w:hideMark/>
          </w:tcPr>
          <w:p w14:paraId="65101566"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r>
      <w:tr w:rsidR="008D06F2" w:rsidRPr="000A7FD1" w14:paraId="660CB676" w14:textId="77777777" w:rsidTr="003B3190">
        <w:trPr>
          <w:cantSplit/>
          <w:trHeight w:val="915"/>
        </w:trPr>
        <w:tc>
          <w:tcPr>
            <w:tcW w:w="1635" w:type="dxa"/>
            <w:vMerge/>
            <w:tcBorders>
              <w:top w:val="single" w:sz="4" w:space="0" w:color="auto"/>
              <w:left w:val="single" w:sz="12" w:space="0" w:color="auto"/>
              <w:bottom w:val="single" w:sz="4" w:space="0" w:color="000000"/>
              <w:right w:val="single" w:sz="4" w:space="0" w:color="auto"/>
            </w:tcBorders>
            <w:vAlign w:val="center"/>
            <w:hideMark/>
          </w:tcPr>
          <w:p w14:paraId="094C6F0F" w14:textId="77777777" w:rsidR="008D06F2" w:rsidRPr="000A7FD1" w:rsidRDefault="008D06F2" w:rsidP="008D06F2">
            <w:pPr>
              <w:widowControl/>
              <w:adjustRightInd/>
              <w:spacing w:before="0" w:after="0"/>
              <w:textAlignment w:val="auto"/>
              <w:rPr>
                <w:rFonts w:cs="Arial"/>
                <w:color w:val="000000"/>
                <w:sz w:val="20"/>
                <w:szCs w:val="20"/>
              </w:rPr>
            </w:pPr>
          </w:p>
        </w:tc>
        <w:tc>
          <w:tcPr>
            <w:tcW w:w="2563" w:type="dxa"/>
            <w:vMerge w:val="restart"/>
            <w:tcBorders>
              <w:top w:val="nil"/>
              <w:left w:val="single" w:sz="4" w:space="0" w:color="auto"/>
              <w:bottom w:val="single" w:sz="4" w:space="0" w:color="000000"/>
              <w:right w:val="nil"/>
            </w:tcBorders>
            <w:shd w:val="clear" w:color="auto" w:fill="auto"/>
            <w:hideMark/>
          </w:tcPr>
          <w:p w14:paraId="544D567C" w14:textId="77F772A7" w:rsidR="008D06F2" w:rsidRPr="000A7FD1" w:rsidRDefault="008D06F2" w:rsidP="008D06F2">
            <w:pPr>
              <w:widowControl/>
              <w:adjustRightInd/>
              <w:spacing w:before="0" w:after="240"/>
              <w:textAlignment w:val="auto"/>
              <w:rPr>
                <w:rFonts w:cs="Arial"/>
                <w:sz w:val="20"/>
                <w:szCs w:val="20"/>
              </w:rPr>
            </w:pPr>
            <w:r w:rsidRPr="000A7FD1">
              <w:rPr>
                <w:rFonts w:cs="Arial"/>
                <w:sz w:val="20"/>
                <w:szCs w:val="20"/>
                <w:u w:val="single"/>
              </w:rPr>
              <w:t>Occurrence/validity</w:t>
            </w:r>
            <w:r w:rsidRPr="000A7FD1">
              <w:rPr>
                <w:rFonts w:cs="Arial"/>
                <w:sz w:val="20"/>
                <w:szCs w:val="20"/>
                <w:u w:val="single"/>
              </w:rPr>
              <w:br/>
            </w:r>
            <w:r w:rsidRPr="000A7FD1">
              <w:rPr>
                <w:rFonts w:cs="Arial"/>
                <w:sz w:val="20"/>
                <w:szCs w:val="20"/>
              </w:rPr>
              <w:t>1. Recorded transactions and events did not actually occur or do not pertain to the entity.</w:t>
            </w:r>
          </w:p>
        </w:tc>
        <w:tc>
          <w:tcPr>
            <w:tcW w:w="1572" w:type="dxa"/>
            <w:tcBorders>
              <w:top w:val="nil"/>
              <w:left w:val="single" w:sz="4" w:space="0" w:color="auto"/>
              <w:bottom w:val="single" w:sz="4" w:space="0" w:color="auto"/>
              <w:right w:val="single" w:sz="8" w:space="0" w:color="auto"/>
            </w:tcBorders>
            <w:shd w:val="clear" w:color="auto" w:fill="auto"/>
            <w:hideMark/>
          </w:tcPr>
          <w:p w14:paraId="35FBAA30" w14:textId="77777777" w:rsidR="008D06F2" w:rsidRPr="000A7FD1" w:rsidRDefault="008D06F2" w:rsidP="008D06F2">
            <w:pPr>
              <w:widowControl/>
              <w:adjustRightInd/>
              <w:spacing w:before="0" w:after="0"/>
              <w:textAlignment w:val="auto"/>
              <w:rPr>
                <w:rFonts w:cs="Arial"/>
                <w:sz w:val="20"/>
                <w:szCs w:val="20"/>
              </w:rPr>
            </w:pPr>
            <w:r w:rsidRPr="000A7FD1">
              <w:rPr>
                <w:rFonts w:cs="Arial"/>
                <w:sz w:val="20"/>
                <w:szCs w:val="20"/>
              </w:rPr>
              <w:t>[e.g., cash receipts, SCE.1]</w:t>
            </w:r>
          </w:p>
        </w:tc>
        <w:tc>
          <w:tcPr>
            <w:tcW w:w="1986" w:type="dxa"/>
            <w:tcBorders>
              <w:top w:val="nil"/>
              <w:left w:val="nil"/>
              <w:bottom w:val="single" w:sz="4" w:space="0" w:color="auto"/>
              <w:right w:val="single" w:sz="4" w:space="0" w:color="auto"/>
            </w:tcBorders>
            <w:shd w:val="clear" w:color="auto" w:fill="auto"/>
            <w:hideMark/>
          </w:tcPr>
          <w:p w14:paraId="12BCD6CC" w14:textId="122EC17A"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[columns 4 - 8 should be consistent with the Revenue LIRA related to cash receipts]</w:t>
            </w:r>
          </w:p>
        </w:tc>
        <w:tc>
          <w:tcPr>
            <w:tcW w:w="1456" w:type="dxa"/>
            <w:tcBorders>
              <w:top w:val="nil"/>
              <w:left w:val="nil"/>
              <w:bottom w:val="single" w:sz="4" w:space="0" w:color="auto"/>
              <w:right w:val="single" w:sz="4" w:space="0" w:color="auto"/>
            </w:tcBorders>
            <w:shd w:val="clear" w:color="auto" w:fill="auto"/>
            <w:hideMark/>
          </w:tcPr>
          <w:p w14:paraId="7188FE0A"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768" w:type="dxa"/>
            <w:tcBorders>
              <w:top w:val="nil"/>
              <w:left w:val="nil"/>
              <w:bottom w:val="single" w:sz="4" w:space="0" w:color="auto"/>
              <w:right w:val="single" w:sz="12" w:space="0" w:color="auto"/>
            </w:tcBorders>
            <w:shd w:val="clear" w:color="auto" w:fill="auto"/>
            <w:hideMark/>
          </w:tcPr>
          <w:p w14:paraId="2F86ACBC"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814" w:type="dxa"/>
            <w:tcBorders>
              <w:top w:val="nil"/>
              <w:left w:val="single" w:sz="4" w:space="0" w:color="auto"/>
              <w:bottom w:val="single" w:sz="4" w:space="0" w:color="auto"/>
              <w:right w:val="single" w:sz="8" w:space="0" w:color="auto"/>
            </w:tcBorders>
            <w:shd w:val="clear" w:color="auto" w:fill="auto"/>
            <w:hideMark/>
          </w:tcPr>
          <w:p w14:paraId="5C9D7FBD"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793" w:type="dxa"/>
            <w:tcBorders>
              <w:top w:val="nil"/>
              <w:left w:val="nil"/>
              <w:bottom w:val="single" w:sz="4" w:space="0" w:color="auto"/>
              <w:right w:val="single" w:sz="12" w:space="0" w:color="auto"/>
            </w:tcBorders>
            <w:shd w:val="clear" w:color="auto" w:fill="auto"/>
            <w:hideMark/>
          </w:tcPr>
          <w:p w14:paraId="213A4E87"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2077" w:type="dxa"/>
            <w:tcBorders>
              <w:top w:val="nil"/>
              <w:left w:val="nil"/>
              <w:bottom w:val="single" w:sz="4" w:space="0" w:color="auto"/>
              <w:right w:val="single" w:sz="4" w:space="0" w:color="auto"/>
            </w:tcBorders>
            <w:shd w:val="clear" w:color="auto" w:fill="auto"/>
            <w:hideMark/>
          </w:tcPr>
          <w:p w14:paraId="54E354DA" w14:textId="1EA1DD3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[e.g., see Revenue LIRA]</w:t>
            </w:r>
          </w:p>
        </w:tc>
        <w:tc>
          <w:tcPr>
            <w:tcW w:w="976" w:type="dxa"/>
            <w:tcBorders>
              <w:top w:val="single" w:sz="4" w:space="0" w:color="auto"/>
              <w:left w:val="nil"/>
              <w:bottom w:val="single" w:sz="4" w:space="0" w:color="auto"/>
              <w:right w:val="single" w:sz="12" w:space="0" w:color="auto"/>
            </w:tcBorders>
            <w:shd w:val="clear" w:color="auto" w:fill="auto"/>
            <w:hideMark/>
          </w:tcPr>
          <w:p w14:paraId="303B17CC"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r>
      <w:tr w:rsidR="008D06F2" w:rsidRPr="000A7FD1" w14:paraId="3117D1F5" w14:textId="77777777" w:rsidTr="003B3190">
        <w:trPr>
          <w:cantSplit/>
          <w:trHeight w:val="930"/>
        </w:trPr>
        <w:tc>
          <w:tcPr>
            <w:tcW w:w="1635" w:type="dxa"/>
            <w:vMerge/>
            <w:tcBorders>
              <w:top w:val="single" w:sz="4" w:space="0" w:color="auto"/>
              <w:left w:val="single" w:sz="12" w:space="0" w:color="auto"/>
              <w:bottom w:val="single" w:sz="4" w:space="0" w:color="000000"/>
              <w:right w:val="single" w:sz="4" w:space="0" w:color="auto"/>
            </w:tcBorders>
            <w:vAlign w:val="center"/>
            <w:hideMark/>
          </w:tcPr>
          <w:p w14:paraId="10C0C667" w14:textId="77777777" w:rsidR="008D06F2" w:rsidRPr="000A7FD1" w:rsidRDefault="008D06F2" w:rsidP="008D06F2">
            <w:pPr>
              <w:widowControl/>
              <w:adjustRightInd/>
              <w:spacing w:before="0" w:after="0"/>
              <w:textAlignment w:val="auto"/>
              <w:rPr>
                <w:rFonts w:cs="Arial"/>
                <w:color w:val="000000"/>
                <w:sz w:val="20"/>
                <w:szCs w:val="20"/>
              </w:rPr>
            </w:pPr>
          </w:p>
        </w:tc>
        <w:tc>
          <w:tcPr>
            <w:tcW w:w="2563" w:type="dxa"/>
            <w:vMerge/>
            <w:tcBorders>
              <w:top w:val="nil"/>
              <w:left w:val="single" w:sz="4" w:space="0" w:color="auto"/>
              <w:bottom w:val="single" w:sz="8" w:space="0" w:color="auto"/>
              <w:right w:val="nil"/>
            </w:tcBorders>
            <w:vAlign w:val="center"/>
            <w:hideMark/>
          </w:tcPr>
          <w:p w14:paraId="4E8828B8" w14:textId="77777777" w:rsidR="008D06F2" w:rsidRPr="000A7FD1" w:rsidRDefault="008D06F2" w:rsidP="008D06F2">
            <w:pPr>
              <w:widowControl/>
              <w:adjustRightInd/>
              <w:spacing w:before="0" w:after="0"/>
              <w:textAlignment w:val="auto"/>
              <w:rPr>
                <w:rFonts w:cs="Arial"/>
                <w:sz w:val="20"/>
                <w:szCs w:val="20"/>
              </w:rPr>
            </w:pPr>
          </w:p>
        </w:tc>
        <w:tc>
          <w:tcPr>
            <w:tcW w:w="1572" w:type="dxa"/>
            <w:tcBorders>
              <w:top w:val="single" w:sz="4" w:space="0" w:color="auto"/>
              <w:left w:val="single" w:sz="4" w:space="0" w:color="auto"/>
              <w:bottom w:val="single" w:sz="8" w:space="0" w:color="auto"/>
              <w:right w:val="single" w:sz="8" w:space="0" w:color="auto"/>
            </w:tcBorders>
            <w:shd w:val="clear" w:color="auto" w:fill="auto"/>
            <w:hideMark/>
          </w:tcPr>
          <w:p w14:paraId="588F09BD" w14:textId="77777777" w:rsidR="008D06F2" w:rsidRPr="000A7FD1" w:rsidRDefault="008D06F2" w:rsidP="008D06F2">
            <w:pPr>
              <w:widowControl/>
              <w:adjustRightInd/>
              <w:spacing w:before="0" w:after="0"/>
              <w:textAlignment w:val="auto"/>
              <w:rPr>
                <w:rFonts w:cs="Arial"/>
                <w:sz w:val="20"/>
                <w:szCs w:val="20"/>
              </w:rPr>
            </w:pPr>
            <w:r w:rsidRPr="000A7FD1">
              <w:rPr>
                <w:rFonts w:cs="Arial"/>
                <w:sz w:val="20"/>
                <w:szCs w:val="20"/>
              </w:rPr>
              <w:t>[e.g., cash disbursements, SCE.2]</w:t>
            </w:r>
          </w:p>
        </w:tc>
        <w:tc>
          <w:tcPr>
            <w:tcW w:w="1986" w:type="dxa"/>
            <w:tcBorders>
              <w:top w:val="single" w:sz="4" w:space="0" w:color="auto"/>
              <w:left w:val="nil"/>
              <w:bottom w:val="single" w:sz="8" w:space="0" w:color="auto"/>
              <w:right w:val="single" w:sz="4" w:space="0" w:color="auto"/>
            </w:tcBorders>
            <w:shd w:val="clear" w:color="auto" w:fill="auto"/>
            <w:hideMark/>
          </w:tcPr>
          <w:p w14:paraId="02756AE9" w14:textId="36FD4138"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[columns 4 - 8 should be consistent with the Net Cost LIRA related to cash disbursements]</w:t>
            </w:r>
          </w:p>
        </w:tc>
        <w:tc>
          <w:tcPr>
            <w:tcW w:w="1456" w:type="dxa"/>
            <w:tcBorders>
              <w:top w:val="single" w:sz="4" w:space="0" w:color="auto"/>
              <w:left w:val="nil"/>
              <w:bottom w:val="single" w:sz="8" w:space="0" w:color="auto"/>
              <w:right w:val="single" w:sz="4" w:space="0" w:color="auto"/>
            </w:tcBorders>
            <w:shd w:val="clear" w:color="auto" w:fill="auto"/>
            <w:hideMark/>
          </w:tcPr>
          <w:p w14:paraId="6D93188D"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768" w:type="dxa"/>
            <w:tcBorders>
              <w:top w:val="single" w:sz="4" w:space="0" w:color="auto"/>
              <w:left w:val="nil"/>
              <w:bottom w:val="single" w:sz="8" w:space="0" w:color="auto"/>
              <w:right w:val="single" w:sz="12" w:space="0" w:color="auto"/>
            </w:tcBorders>
            <w:shd w:val="clear" w:color="auto" w:fill="auto"/>
            <w:hideMark/>
          </w:tcPr>
          <w:p w14:paraId="3F21C400"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814" w:type="dxa"/>
            <w:tcBorders>
              <w:top w:val="single" w:sz="4" w:space="0" w:color="auto"/>
              <w:left w:val="single" w:sz="4" w:space="0" w:color="auto"/>
              <w:bottom w:val="single" w:sz="8" w:space="0" w:color="auto"/>
              <w:right w:val="single" w:sz="8" w:space="0" w:color="auto"/>
            </w:tcBorders>
            <w:shd w:val="clear" w:color="auto" w:fill="auto"/>
            <w:hideMark/>
          </w:tcPr>
          <w:p w14:paraId="0D68F843"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793" w:type="dxa"/>
            <w:tcBorders>
              <w:top w:val="single" w:sz="4" w:space="0" w:color="auto"/>
              <w:left w:val="nil"/>
              <w:bottom w:val="single" w:sz="8" w:space="0" w:color="auto"/>
              <w:right w:val="single" w:sz="12" w:space="0" w:color="auto"/>
            </w:tcBorders>
            <w:shd w:val="clear" w:color="auto" w:fill="auto"/>
            <w:hideMark/>
          </w:tcPr>
          <w:p w14:paraId="0F08E807"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2077" w:type="dxa"/>
            <w:tcBorders>
              <w:top w:val="single" w:sz="4" w:space="0" w:color="auto"/>
              <w:left w:val="nil"/>
              <w:bottom w:val="single" w:sz="8" w:space="0" w:color="auto"/>
              <w:right w:val="single" w:sz="4" w:space="0" w:color="auto"/>
            </w:tcBorders>
            <w:shd w:val="clear" w:color="auto" w:fill="auto"/>
            <w:hideMark/>
          </w:tcPr>
          <w:p w14:paraId="63BA052B" w14:textId="7D637050"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[e.g., see Net Cost LIRA]</w:t>
            </w:r>
          </w:p>
        </w:tc>
        <w:tc>
          <w:tcPr>
            <w:tcW w:w="976" w:type="dxa"/>
            <w:tcBorders>
              <w:top w:val="single" w:sz="4" w:space="0" w:color="auto"/>
              <w:left w:val="nil"/>
              <w:bottom w:val="single" w:sz="8" w:space="0" w:color="auto"/>
              <w:right w:val="single" w:sz="12" w:space="0" w:color="auto"/>
            </w:tcBorders>
            <w:shd w:val="clear" w:color="auto" w:fill="auto"/>
            <w:hideMark/>
          </w:tcPr>
          <w:p w14:paraId="72653E66"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r>
      <w:tr w:rsidR="008D06F2" w:rsidRPr="000A7FD1" w14:paraId="7D5A3C2F" w14:textId="77777777" w:rsidTr="003B3190">
        <w:trPr>
          <w:cantSplit/>
          <w:trHeight w:val="853"/>
        </w:trPr>
        <w:tc>
          <w:tcPr>
            <w:tcW w:w="1635" w:type="dxa"/>
            <w:vMerge/>
            <w:tcBorders>
              <w:top w:val="single" w:sz="4" w:space="0" w:color="auto"/>
              <w:left w:val="single" w:sz="12" w:space="0" w:color="auto"/>
              <w:bottom w:val="single" w:sz="4" w:space="0" w:color="000000"/>
              <w:right w:val="single" w:sz="4" w:space="0" w:color="auto"/>
            </w:tcBorders>
            <w:vAlign w:val="center"/>
            <w:hideMark/>
          </w:tcPr>
          <w:p w14:paraId="79DE6410" w14:textId="77777777" w:rsidR="008D06F2" w:rsidRPr="000A7FD1" w:rsidRDefault="008D06F2" w:rsidP="008D06F2">
            <w:pPr>
              <w:widowControl/>
              <w:adjustRightInd/>
              <w:spacing w:before="0" w:after="0"/>
              <w:textAlignment w:val="auto"/>
              <w:rPr>
                <w:rFonts w:cs="Arial"/>
                <w:color w:val="000000"/>
                <w:sz w:val="20"/>
                <w:szCs w:val="20"/>
              </w:rPr>
            </w:pPr>
          </w:p>
        </w:tc>
        <w:tc>
          <w:tcPr>
            <w:tcW w:w="2563" w:type="dxa"/>
            <w:vMerge w:val="restart"/>
            <w:tcBorders>
              <w:top w:val="single" w:sz="8" w:space="0" w:color="auto"/>
              <w:left w:val="single" w:sz="4" w:space="0" w:color="auto"/>
              <w:bottom w:val="single" w:sz="4" w:space="0" w:color="000000"/>
              <w:right w:val="nil"/>
            </w:tcBorders>
            <w:shd w:val="clear" w:color="auto" w:fill="auto"/>
            <w:hideMark/>
          </w:tcPr>
          <w:p w14:paraId="17F238F6" w14:textId="77777777" w:rsidR="008D06F2" w:rsidRPr="000A7FD1" w:rsidRDefault="008D06F2" w:rsidP="008D06F2">
            <w:pPr>
              <w:widowControl/>
              <w:adjustRightInd/>
              <w:spacing w:before="0" w:after="0"/>
              <w:textAlignment w:val="auto"/>
              <w:rPr>
                <w:rFonts w:cs="Arial"/>
                <w:sz w:val="20"/>
                <w:szCs w:val="20"/>
              </w:rPr>
            </w:pPr>
            <w:r w:rsidRPr="000A7FD1">
              <w:rPr>
                <w:rFonts w:cs="Arial"/>
                <w:sz w:val="20"/>
                <w:szCs w:val="20"/>
                <w:u w:val="single"/>
              </w:rPr>
              <w:t>Cutoff</w:t>
            </w:r>
            <w:r w:rsidRPr="000A7FD1">
              <w:rPr>
                <w:rFonts w:cs="Arial"/>
                <w:sz w:val="20"/>
                <w:szCs w:val="20"/>
              </w:rPr>
              <w:t>:</w:t>
            </w:r>
            <w:r w:rsidRPr="000A7FD1">
              <w:rPr>
                <w:rFonts w:cs="Arial"/>
                <w:sz w:val="20"/>
                <w:szCs w:val="20"/>
              </w:rPr>
              <w:br/>
              <w:t>2. Transactions and events are recorded in the current period but occurred in a different period.</w:t>
            </w:r>
          </w:p>
          <w:p w14:paraId="63B1C5A0" w14:textId="77777777" w:rsidR="00EB276B" w:rsidRPr="000A7FD1" w:rsidRDefault="00EB276B" w:rsidP="008D06F2">
            <w:pPr>
              <w:widowControl/>
              <w:adjustRightInd/>
              <w:spacing w:before="0" w:after="0"/>
              <w:textAlignment w:val="auto"/>
              <w:rPr>
                <w:rFonts w:cs="Arial"/>
                <w:sz w:val="20"/>
                <w:szCs w:val="20"/>
              </w:rPr>
            </w:pPr>
          </w:p>
        </w:tc>
        <w:tc>
          <w:tcPr>
            <w:tcW w:w="1572" w:type="dxa"/>
            <w:tcBorders>
              <w:top w:val="single" w:sz="8" w:space="0" w:color="auto"/>
              <w:left w:val="single" w:sz="4" w:space="0" w:color="auto"/>
              <w:bottom w:val="nil"/>
              <w:right w:val="single" w:sz="8" w:space="0" w:color="auto"/>
            </w:tcBorders>
            <w:shd w:val="clear" w:color="auto" w:fill="auto"/>
            <w:hideMark/>
          </w:tcPr>
          <w:p w14:paraId="35F7893B" w14:textId="77777777" w:rsidR="008D06F2" w:rsidRPr="000A7FD1" w:rsidRDefault="008D06F2" w:rsidP="008D06F2">
            <w:pPr>
              <w:widowControl/>
              <w:adjustRightInd/>
              <w:spacing w:before="0" w:after="0"/>
              <w:textAlignment w:val="auto"/>
              <w:rPr>
                <w:rFonts w:cs="Arial"/>
                <w:sz w:val="20"/>
                <w:szCs w:val="20"/>
              </w:rPr>
            </w:pPr>
            <w:r w:rsidRPr="000A7FD1">
              <w:rPr>
                <w:rFonts w:cs="Arial"/>
                <w:sz w:val="20"/>
                <w:szCs w:val="20"/>
              </w:rPr>
              <w:t> </w:t>
            </w:r>
          </w:p>
        </w:tc>
        <w:tc>
          <w:tcPr>
            <w:tcW w:w="1986" w:type="dxa"/>
            <w:tcBorders>
              <w:top w:val="single" w:sz="8" w:space="0" w:color="auto"/>
              <w:left w:val="nil"/>
              <w:bottom w:val="single" w:sz="4" w:space="0" w:color="auto"/>
              <w:right w:val="single" w:sz="4" w:space="0" w:color="auto"/>
            </w:tcBorders>
            <w:shd w:val="clear" w:color="auto" w:fill="auto"/>
            <w:hideMark/>
          </w:tcPr>
          <w:p w14:paraId="74586ACE"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456" w:type="dxa"/>
            <w:tcBorders>
              <w:top w:val="single" w:sz="8" w:space="0" w:color="auto"/>
              <w:left w:val="nil"/>
              <w:bottom w:val="single" w:sz="4" w:space="0" w:color="auto"/>
              <w:right w:val="single" w:sz="4" w:space="0" w:color="auto"/>
            </w:tcBorders>
            <w:shd w:val="clear" w:color="auto" w:fill="auto"/>
            <w:hideMark/>
          </w:tcPr>
          <w:p w14:paraId="7F0660E3"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768" w:type="dxa"/>
            <w:tcBorders>
              <w:top w:val="single" w:sz="8" w:space="0" w:color="auto"/>
              <w:left w:val="nil"/>
              <w:bottom w:val="single" w:sz="4" w:space="0" w:color="auto"/>
              <w:right w:val="single" w:sz="12" w:space="0" w:color="auto"/>
            </w:tcBorders>
            <w:shd w:val="clear" w:color="auto" w:fill="auto"/>
            <w:hideMark/>
          </w:tcPr>
          <w:p w14:paraId="32BFCEA4"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814" w:type="dxa"/>
            <w:tcBorders>
              <w:top w:val="single" w:sz="8" w:space="0" w:color="auto"/>
              <w:left w:val="single" w:sz="4" w:space="0" w:color="auto"/>
              <w:bottom w:val="single" w:sz="4" w:space="0" w:color="auto"/>
              <w:right w:val="single" w:sz="8" w:space="0" w:color="auto"/>
            </w:tcBorders>
            <w:shd w:val="clear" w:color="auto" w:fill="auto"/>
            <w:hideMark/>
          </w:tcPr>
          <w:p w14:paraId="03672BE5"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793" w:type="dxa"/>
            <w:tcBorders>
              <w:top w:val="single" w:sz="8" w:space="0" w:color="auto"/>
              <w:left w:val="nil"/>
              <w:bottom w:val="single" w:sz="4" w:space="0" w:color="auto"/>
              <w:right w:val="single" w:sz="12" w:space="0" w:color="auto"/>
            </w:tcBorders>
            <w:shd w:val="clear" w:color="auto" w:fill="auto"/>
            <w:hideMark/>
          </w:tcPr>
          <w:p w14:paraId="280B9A27"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2077" w:type="dxa"/>
            <w:tcBorders>
              <w:top w:val="single" w:sz="8" w:space="0" w:color="auto"/>
              <w:left w:val="nil"/>
              <w:bottom w:val="single" w:sz="4" w:space="0" w:color="auto"/>
              <w:right w:val="single" w:sz="4" w:space="0" w:color="auto"/>
            </w:tcBorders>
            <w:shd w:val="clear" w:color="auto" w:fill="auto"/>
            <w:hideMark/>
          </w:tcPr>
          <w:p w14:paraId="60259937"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976" w:type="dxa"/>
            <w:tcBorders>
              <w:top w:val="single" w:sz="8" w:space="0" w:color="auto"/>
              <w:left w:val="nil"/>
              <w:bottom w:val="nil"/>
              <w:right w:val="single" w:sz="12" w:space="0" w:color="auto"/>
            </w:tcBorders>
            <w:shd w:val="clear" w:color="auto" w:fill="auto"/>
            <w:hideMark/>
          </w:tcPr>
          <w:p w14:paraId="1D73C506"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r>
      <w:tr w:rsidR="008D06F2" w:rsidRPr="000A7FD1" w14:paraId="2DFAA13E" w14:textId="77777777" w:rsidTr="003B3190">
        <w:trPr>
          <w:cantSplit/>
          <w:trHeight w:val="692"/>
        </w:trPr>
        <w:tc>
          <w:tcPr>
            <w:tcW w:w="1635" w:type="dxa"/>
            <w:vMerge/>
            <w:tcBorders>
              <w:top w:val="single" w:sz="4" w:space="0" w:color="auto"/>
              <w:left w:val="single" w:sz="12" w:space="0" w:color="auto"/>
              <w:bottom w:val="single" w:sz="4" w:space="0" w:color="000000"/>
              <w:right w:val="single" w:sz="4" w:space="0" w:color="auto"/>
            </w:tcBorders>
            <w:vAlign w:val="center"/>
            <w:hideMark/>
          </w:tcPr>
          <w:p w14:paraId="09C3E272" w14:textId="77777777" w:rsidR="008D06F2" w:rsidRPr="000A7FD1" w:rsidRDefault="008D06F2" w:rsidP="008D06F2">
            <w:pPr>
              <w:widowControl/>
              <w:adjustRightInd/>
              <w:spacing w:before="0" w:after="0"/>
              <w:textAlignment w:val="auto"/>
              <w:rPr>
                <w:rFonts w:cs="Arial"/>
                <w:color w:val="000000"/>
                <w:sz w:val="20"/>
                <w:szCs w:val="20"/>
              </w:rPr>
            </w:pPr>
          </w:p>
        </w:tc>
        <w:tc>
          <w:tcPr>
            <w:tcW w:w="2563" w:type="dxa"/>
            <w:vMerge/>
            <w:tcBorders>
              <w:top w:val="single" w:sz="4" w:space="0" w:color="000000"/>
              <w:left w:val="single" w:sz="4" w:space="0" w:color="auto"/>
              <w:bottom w:val="single" w:sz="4" w:space="0" w:color="000000"/>
              <w:right w:val="nil"/>
            </w:tcBorders>
            <w:vAlign w:val="center"/>
            <w:hideMark/>
          </w:tcPr>
          <w:p w14:paraId="3AD2DD32" w14:textId="77777777" w:rsidR="008D06F2" w:rsidRPr="000A7FD1" w:rsidRDefault="008D06F2" w:rsidP="008D06F2">
            <w:pPr>
              <w:widowControl/>
              <w:adjustRightInd/>
              <w:spacing w:before="0" w:after="0"/>
              <w:textAlignment w:val="auto"/>
              <w:rPr>
                <w:rFonts w:cs="Arial"/>
                <w:sz w:val="20"/>
                <w:szCs w:val="20"/>
              </w:rPr>
            </w:pPr>
          </w:p>
        </w:tc>
        <w:tc>
          <w:tcPr>
            <w:tcW w:w="1572" w:type="dxa"/>
            <w:tcBorders>
              <w:top w:val="single" w:sz="4" w:space="0" w:color="auto"/>
              <w:left w:val="single" w:sz="4" w:space="0" w:color="auto"/>
              <w:bottom w:val="nil"/>
              <w:right w:val="single" w:sz="8" w:space="0" w:color="auto"/>
            </w:tcBorders>
            <w:shd w:val="clear" w:color="auto" w:fill="auto"/>
            <w:hideMark/>
          </w:tcPr>
          <w:p w14:paraId="467CA054" w14:textId="77777777" w:rsidR="008D06F2" w:rsidRPr="000A7FD1" w:rsidRDefault="008D06F2" w:rsidP="008D06F2">
            <w:pPr>
              <w:widowControl/>
              <w:adjustRightInd/>
              <w:spacing w:before="0" w:after="0"/>
              <w:textAlignment w:val="auto"/>
              <w:rPr>
                <w:rFonts w:cs="Arial"/>
                <w:sz w:val="20"/>
                <w:szCs w:val="20"/>
              </w:rPr>
            </w:pPr>
            <w:r w:rsidRPr="000A7FD1">
              <w:rPr>
                <w:rFonts w:cs="Arial"/>
                <w:sz w:val="20"/>
                <w:szCs w:val="20"/>
              </w:rPr>
              <w:t> </w:t>
            </w:r>
          </w:p>
        </w:tc>
        <w:tc>
          <w:tcPr>
            <w:tcW w:w="1986" w:type="dxa"/>
            <w:tcBorders>
              <w:top w:val="nil"/>
              <w:left w:val="nil"/>
              <w:bottom w:val="single" w:sz="4" w:space="0" w:color="auto"/>
              <w:right w:val="single" w:sz="4" w:space="0" w:color="auto"/>
            </w:tcBorders>
            <w:shd w:val="clear" w:color="auto" w:fill="auto"/>
            <w:hideMark/>
          </w:tcPr>
          <w:p w14:paraId="361F9633"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456" w:type="dxa"/>
            <w:tcBorders>
              <w:top w:val="nil"/>
              <w:left w:val="nil"/>
              <w:bottom w:val="single" w:sz="4" w:space="0" w:color="auto"/>
              <w:right w:val="single" w:sz="4" w:space="0" w:color="auto"/>
            </w:tcBorders>
            <w:shd w:val="clear" w:color="auto" w:fill="auto"/>
            <w:hideMark/>
          </w:tcPr>
          <w:p w14:paraId="74D1FAA4"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768" w:type="dxa"/>
            <w:tcBorders>
              <w:top w:val="nil"/>
              <w:left w:val="nil"/>
              <w:bottom w:val="single" w:sz="4" w:space="0" w:color="auto"/>
              <w:right w:val="single" w:sz="12" w:space="0" w:color="auto"/>
            </w:tcBorders>
            <w:shd w:val="clear" w:color="auto" w:fill="auto"/>
            <w:hideMark/>
          </w:tcPr>
          <w:p w14:paraId="368956CC"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814" w:type="dxa"/>
            <w:tcBorders>
              <w:top w:val="nil"/>
              <w:left w:val="single" w:sz="4" w:space="0" w:color="auto"/>
              <w:bottom w:val="single" w:sz="4" w:space="0" w:color="auto"/>
              <w:right w:val="single" w:sz="8" w:space="0" w:color="auto"/>
            </w:tcBorders>
            <w:shd w:val="clear" w:color="auto" w:fill="auto"/>
            <w:hideMark/>
          </w:tcPr>
          <w:p w14:paraId="4DD39545"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793" w:type="dxa"/>
            <w:tcBorders>
              <w:top w:val="nil"/>
              <w:left w:val="nil"/>
              <w:bottom w:val="single" w:sz="4" w:space="0" w:color="auto"/>
              <w:right w:val="single" w:sz="12" w:space="0" w:color="auto"/>
            </w:tcBorders>
            <w:shd w:val="clear" w:color="auto" w:fill="auto"/>
            <w:hideMark/>
          </w:tcPr>
          <w:p w14:paraId="491244A5"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2077" w:type="dxa"/>
            <w:tcBorders>
              <w:top w:val="nil"/>
              <w:left w:val="nil"/>
              <w:bottom w:val="single" w:sz="4" w:space="0" w:color="auto"/>
              <w:right w:val="single" w:sz="4" w:space="0" w:color="auto"/>
            </w:tcBorders>
            <w:shd w:val="clear" w:color="auto" w:fill="auto"/>
            <w:hideMark/>
          </w:tcPr>
          <w:p w14:paraId="5CE039D8"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976" w:type="dxa"/>
            <w:tcBorders>
              <w:top w:val="single" w:sz="4" w:space="0" w:color="auto"/>
              <w:left w:val="nil"/>
              <w:bottom w:val="nil"/>
              <w:right w:val="single" w:sz="12" w:space="0" w:color="auto"/>
            </w:tcBorders>
            <w:shd w:val="clear" w:color="auto" w:fill="auto"/>
            <w:hideMark/>
          </w:tcPr>
          <w:p w14:paraId="2117ED63"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r>
      <w:tr w:rsidR="008D06F2" w:rsidRPr="000A7FD1" w14:paraId="0E3657AB" w14:textId="77777777" w:rsidTr="003B3190">
        <w:trPr>
          <w:cantSplit/>
          <w:trHeight w:val="728"/>
        </w:trPr>
        <w:tc>
          <w:tcPr>
            <w:tcW w:w="1635" w:type="dxa"/>
            <w:vMerge/>
            <w:tcBorders>
              <w:top w:val="single" w:sz="4" w:space="0" w:color="auto"/>
              <w:left w:val="single" w:sz="12" w:space="0" w:color="auto"/>
              <w:bottom w:val="single" w:sz="4" w:space="0" w:color="000000"/>
              <w:right w:val="single" w:sz="4" w:space="0" w:color="auto"/>
            </w:tcBorders>
            <w:vAlign w:val="center"/>
            <w:hideMark/>
          </w:tcPr>
          <w:p w14:paraId="03089CCC" w14:textId="77777777" w:rsidR="008D06F2" w:rsidRPr="000A7FD1" w:rsidRDefault="008D06F2" w:rsidP="008D06F2">
            <w:pPr>
              <w:widowControl/>
              <w:adjustRightInd/>
              <w:spacing w:before="0" w:after="0"/>
              <w:textAlignment w:val="auto"/>
              <w:rPr>
                <w:rFonts w:cs="Arial"/>
                <w:color w:val="000000"/>
                <w:sz w:val="20"/>
                <w:szCs w:val="20"/>
              </w:rPr>
            </w:pPr>
          </w:p>
        </w:tc>
        <w:tc>
          <w:tcPr>
            <w:tcW w:w="2563" w:type="dxa"/>
            <w:vMerge w:val="restart"/>
            <w:tcBorders>
              <w:top w:val="nil"/>
              <w:left w:val="single" w:sz="4" w:space="0" w:color="auto"/>
              <w:bottom w:val="single" w:sz="4" w:space="0" w:color="000000"/>
              <w:right w:val="nil"/>
            </w:tcBorders>
            <w:shd w:val="clear" w:color="auto" w:fill="auto"/>
            <w:hideMark/>
          </w:tcPr>
          <w:p w14:paraId="7C73E658" w14:textId="77777777" w:rsidR="008D06F2" w:rsidRPr="000A7FD1" w:rsidRDefault="008D06F2" w:rsidP="008D06F2">
            <w:pPr>
              <w:widowControl/>
              <w:adjustRightInd/>
              <w:spacing w:before="0" w:after="0"/>
              <w:textAlignment w:val="auto"/>
              <w:rPr>
                <w:rFonts w:cs="Arial"/>
                <w:sz w:val="20"/>
                <w:szCs w:val="20"/>
              </w:rPr>
            </w:pPr>
            <w:r w:rsidRPr="000A7FD1">
              <w:rPr>
                <w:rFonts w:cs="Arial"/>
                <w:sz w:val="20"/>
                <w:szCs w:val="20"/>
                <w:u w:val="single"/>
              </w:rPr>
              <w:t>Summarization</w:t>
            </w:r>
            <w:r w:rsidRPr="000A7FD1">
              <w:rPr>
                <w:rFonts w:cs="Arial"/>
                <w:sz w:val="20"/>
                <w:szCs w:val="20"/>
              </w:rPr>
              <w:t>:</w:t>
            </w:r>
            <w:r w:rsidRPr="000A7FD1">
              <w:rPr>
                <w:rFonts w:cs="Arial"/>
                <w:sz w:val="20"/>
                <w:szCs w:val="20"/>
              </w:rPr>
              <w:br/>
              <w:t>3. Transactions are summarized improperly, resulting in an overstated total.</w:t>
            </w:r>
          </w:p>
        </w:tc>
        <w:tc>
          <w:tcPr>
            <w:tcW w:w="1572" w:type="dxa"/>
            <w:tcBorders>
              <w:top w:val="single" w:sz="4" w:space="0" w:color="auto"/>
              <w:left w:val="single" w:sz="4" w:space="0" w:color="auto"/>
              <w:bottom w:val="nil"/>
              <w:right w:val="single" w:sz="8" w:space="0" w:color="auto"/>
            </w:tcBorders>
            <w:shd w:val="clear" w:color="auto" w:fill="auto"/>
            <w:hideMark/>
          </w:tcPr>
          <w:p w14:paraId="0558AC92" w14:textId="77777777" w:rsidR="008D06F2" w:rsidRPr="000A7FD1" w:rsidRDefault="008D06F2" w:rsidP="008D06F2">
            <w:pPr>
              <w:widowControl/>
              <w:adjustRightInd/>
              <w:spacing w:before="0" w:after="0"/>
              <w:textAlignment w:val="auto"/>
              <w:rPr>
                <w:rFonts w:cs="Arial"/>
                <w:sz w:val="20"/>
                <w:szCs w:val="20"/>
              </w:rPr>
            </w:pPr>
            <w:r w:rsidRPr="000A7FD1">
              <w:rPr>
                <w:rFonts w:cs="Arial"/>
                <w:sz w:val="20"/>
                <w:szCs w:val="20"/>
              </w:rPr>
              <w:t> </w:t>
            </w:r>
          </w:p>
        </w:tc>
        <w:tc>
          <w:tcPr>
            <w:tcW w:w="1986" w:type="dxa"/>
            <w:tcBorders>
              <w:top w:val="nil"/>
              <w:left w:val="nil"/>
              <w:bottom w:val="single" w:sz="4" w:space="0" w:color="auto"/>
              <w:right w:val="single" w:sz="4" w:space="0" w:color="auto"/>
            </w:tcBorders>
            <w:shd w:val="clear" w:color="auto" w:fill="auto"/>
            <w:hideMark/>
          </w:tcPr>
          <w:p w14:paraId="35E10520"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456" w:type="dxa"/>
            <w:tcBorders>
              <w:top w:val="nil"/>
              <w:left w:val="nil"/>
              <w:bottom w:val="single" w:sz="4" w:space="0" w:color="auto"/>
              <w:right w:val="single" w:sz="4" w:space="0" w:color="auto"/>
            </w:tcBorders>
            <w:shd w:val="clear" w:color="auto" w:fill="auto"/>
            <w:hideMark/>
          </w:tcPr>
          <w:p w14:paraId="148E7D49"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768" w:type="dxa"/>
            <w:tcBorders>
              <w:top w:val="nil"/>
              <w:left w:val="nil"/>
              <w:bottom w:val="single" w:sz="4" w:space="0" w:color="auto"/>
              <w:right w:val="single" w:sz="12" w:space="0" w:color="auto"/>
            </w:tcBorders>
            <w:shd w:val="clear" w:color="auto" w:fill="auto"/>
            <w:hideMark/>
          </w:tcPr>
          <w:p w14:paraId="39691922"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814" w:type="dxa"/>
            <w:tcBorders>
              <w:top w:val="nil"/>
              <w:left w:val="single" w:sz="4" w:space="0" w:color="auto"/>
              <w:bottom w:val="single" w:sz="4" w:space="0" w:color="auto"/>
              <w:right w:val="single" w:sz="8" w:space="0" w:color="auto"/>
            </w:tcBorders>
            <w:shd w:val="clear" w:color="auto" w:fill="auto"/>
            <w:hideMark/>
          </w:tcPr>
          <w:p w14:paraId="0FF60F5C"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793" w:type="dxa"/>
            <w:tcBorders>
              <w:top w:val="nil"/>
              <w:left w:val="nil"/>
              <w:bottom w:val="single" w:sz="4" w:space="0" w:color="auto"/>
              <w:right w:val="single" w:sz="12" w:space="0" w:color="auto"/>
            </w:tcBorders>
            <w:shd w:val="clear" w:color="auto" w:fill="auto"/>
            <w:hideMark/>
          </w:tcPr>
          <w:p w14:paraId="6DB80660"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2077" w:type="dxa"/>
            <w:tcBorders>
              <w:top w:val="nil"/>
              <w:left w:val="nil"/>
              <w:bottom w:val="single" w:sz="4" w:space="0" w:color="auto"/>
              <w:right w:val="single" w:sz="4" w:space="0" w:color="auto"/>
            </w:tcBorders>
            <w:shd w:val="clear" w:color="auto" w:fill="auto"/>
            <w:hideMark/>
          </w:tcPr>
          <w:p w14:paraId="47D9756E"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976" w:type="dxa"/>
            <w:tcBorders>
              <w:top w:val="single" w:sz="4" w:space="0" w:color="auto"/>
              <w:left w:val="nil"/>
              <w:bottom w:val="nil"/>
              <w:right w:val="single" w:sz="12" w:space="0" w:color="auto"/>
            </w:tcBorders>
            <w:shd w:val="clear" w:color="auto" w:fill="auto"/>
            <w:hideMark/>
          </w:tcPr>
          <w:p w14:paraId="7C7ACDCE"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r>
      <w:tr w:rsidR="008D06F2" w:rsidRPr="000A7FD1" w14:paraId="306BA080" w14:textId="77777777" w:rsidTr="003B3190">
        <w:trPr>
          <w:cantSplit/>
          <w:trHeight w:val="692"/>
        </w:trPr>
        <w:tc>
          <w:tcPr>
            <w:tcW w:w="1635" w:type="dxa"/>
            <w:vMerge/>
            <w:tcBorders>
              <w:top w:val="single" w:sz="4" w:space="0" w:color="auto"/>
              <w:left w:val="single" w:sz="12" w:space="0" w:color="auto"/>
              <w:bottom w:val="single" w:sz="4" w:space="0" w:color="000000"/>
              <w:right w:val="single" w:sz="4" w:space="0" w:color="auto"/>
            </w:tcBorders>
            <w:vAlign w:val="center"/>
            <w:hideMark/>
          </w:tcPr>
          <w:p w14:paraId="55CDEA1A" w14:textId="77777777" w:rsidR="008D06F2" w:rsidRPr="000A7FD1" w:rsidRDefault="008D06F2" w:rsidP="008D06F2">
            <w:pPr>
              <w:widowControl/>
              <w:adjustRightInd/>
              <w:spacing w:before="0" w:after="0"/>
              <w:textAlignment w:val="auto"/>
              <w:rPr>
                <w:rFonts w:cs="Arial"/>
                <w:color w:val="000000"/>
                <w:sz w:val="20"/>
                <w:szCs w:val="20"/>
              </w:rPr>
            </w:pPr>
          </w:p>
        </w:tc>
        <w:tc>
          <w:tcPr>
            <w:tcW w:w="2563" w:type="dxa"/>
            <w:vMerge/>
            <w:tcBorders>
              <w:top w:val="nil"/>
              <w:left w:val="single" w:sz="4" w:space="0" w:color="auto"/>
              <w:bottom w:val="single" w:sz="4" w:space="0" w:color="000000"/>
              <w:right w:val="nil"/>
            </w:tcBorders>
            <w:vAlign w:val="center"/>
            <w:hideMark/>
          </w:tcPr>
          <w:p w14:paraId="579ABD03" w14:textId="77777777" w:rsidR="008D06F2" w:rsidRPr="000A7FD1" w:rsidRDefault="008D06F2" w:rsidP="008D06F2">
            <w:pPr>
              <w:widowControl/>
              <w:adjustRightInd/>
              <w:spacing w:before="0" w:after="0"/>
              <w:textAlignment w:val="auto"/>
              <w:rPr>
                <w:rFonts w:cs="Arial"/>
                <w:sz w:val="20"/>
                <w:szCs w:val="20"/>
              </w:rPr>
            </w:pPr>
          </w:p>
        </w:tc>
        <w:tc>
          <w:tcPr>
            <w:tcW w:w="1572" w:type="dxa"/>
            <w:tcBorders>
              <w:top w:val="single" w:sz="4" w:space="0" w:color="auto"/>
              <w:left w:val="single" w:sz="4" w:space="0" w:color="auto"/>
              <w:bottom w:val="single" w:sz="4" w:space="0" w:color="auto"/>
              <w:right w:val="single" w:sz="8" w:space="0" w:color="auto"/>
            </w:tcBorders>
            <w:shd w:val="clear" w:color="auto" w:fill="auto"/>
            <w:hideMark/>
          </w:tcPr>
          <w:p w14:paraId="66520690" w14:textId="77777777" w:rsidR="008D06F2" w:rsidRPr="000A7FD1" w:rsidRDefault="008D06F2" w:rsidP="008D06F2">
            <w:pPr>
              <w:widowControl/>
              <w:adjustRightInd/>
              <w:spacing w:before="0" w:after="0"/>
              <w:textAlignment w:val="auto"/>
              <w:rPr>
                <w:rFonts w:cs="Arial"/>
                <w:sz w:val="20"/>
                <w:szCs w:val="20"/>
              </w:rPr>
            </w:pPr>
            <w:r w:rsidRPr="000A7FD1">
              <w:rPr>
                <w:rFonts w:cs="Arial"/>
                <w:sz w:val="20"/>
                <w:szCs w:val="20"/>
              </w:rPr>
              <w:t> </w:t>
            </w:r>
          </w:p>
        </w:tc>
        <w:tc>
          <w:tcPr>
            <w:tcW w:w="1986" w:type="dxa"/>
            <w:tcBorders>
              <w:top w:val="nil"/>
              <w:left w:val="nil"/>
              <w:bottom w:val="single" w:sz="4" w:space="0" w:color="auto"/>
              <w:right w:val="single" w:sz="4" w:space="0" w:color="auto"/>
            </w:tcBorders>
            <w:shd w:val="clear" w:color="auto" w:fill="auto"/>
            <w:hideMark/>
          </w:tcPr>
          <w:p w14:paraId="73D2A06B"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456" w:type="dxa"/>
            <w:tcBorders>
              <w:top w:val="nil"/>
              <w:left w:val="nil"/>
              <w:bottom w:val="single" w:sz="4" w:space="0" w:color="auto"/>
              <w:right w:val="nil"/>
            </w:tcBorders>
            <w:shd w:val="clear" w:color="auto" w:fill="auto"/>
            <w:hideMark/>
          </w:tcPr>
          <w:p w14:paraId="72612E77"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768" w:type="dxa"/>
            <w:tcBorders>
              <w:top w:val="nil"/>
              <w:left w:val="single" w:sz="4" w:space="0" w:color="auto"/>
              <w:bottom w:val="single" w:sz="4" w:space="0" w:color="auto"/>
              <w:right w:val="nil"/>
            </w:tcBorders>
            <w:shd w:val="clear" w:color="auto" w:fill="auto"/>
            <w:hideMark/>
          </w:tcPr>
          <w:p w14:paraId="15408657"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814" w:type="dxa"/>
            <w:tcBorders>
              <w:top w:val="nil"/>
              <w:left w:val="single" w:sz="12" w:space="0" w:color="auto"/>
              <w:bottom w:val="single" w:sz="4" w:space="0" w:color="auto"/>
              <w:right w:val="single" w:sz="8" w:space="0" w:color="auto"/>
            </w:tcBorders>
            <w:shd w:val="clear" w:color="auto" w:fill="auto"/>
            <w:hideMark/>
          </w:tcPr>
          <w:p w14:paraId="676E7BDD"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793" w:type="dxa"/>
            <w:tcBorders>
              <w:top w:val="nil"/>
              <w:left w:val="nil"/>
              <w:bottom w:val="single" w:sz="4" w:space="0" w:color="auto"/>
              <w:right w:val="single" w:sz="12" w:space="0" w:color="auto"/>
            </w:tcBorders>
            <w:shd w:val="clear" w:color="auto" w:fill="auto"/>
            <w:hideMark/>
          </w:tcPr>
          <w:p w14:paraId="1492B956"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2077" w:type="dxa"/>
            <w:tcBorders>
              <w:top w:val="nil"/>
              <w:left w:val="nil"/>
              <w:bottom w:val="single" w:sz="4" w:space="0" w:color="auto"/>
              <w:right w:val="single" w:sz="4" w:space="0" w:color="auto"/>
            </w:tcBorders>
            <w:shd w:val="clear" w:color="auto" w:fill="auto"/>
            <w:hideMark/>
          </w:tcPr>
          <w:p w14:paraId="5BDCC8DF"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976" w:type="dxa"/>
            <w:tcBorders>
              <w:top w:val="single" w:sz="4" w:space="0" w:color="auto"/>
              <w:left w:val="nil"/>
              <w:bottom w:val="single" w:sz="4" w:space="0" w:color="auto"/>
              <w:right w:val="single" w:sz="12" w:space="0" w:color="auto"/>
            </w:tcBorders>
            <w:shd w:val="clear" w:color="auto" w:fill="auto"/>
            <w:hideMark/>
          </w:tcPr>
          <w:p w14:paraId="4012E86E"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r>
      <w:tr w:rsidR="008D06F2" w:rsidRPr="000A7FD1" w14:paraId="7E41BFE6" w14:textId="77777777" w:rsidTr="003B3190">
        <w:trPr>
          <w:cantSplit/>
          <w:trHeight w:val="255"/>
        </w:trPr>
        <w:tc>
          <w:tcPr>
            <w:tcW w:w="1635" w:type="dxa"/>
            <w:vMerge/>
            <w:tcBorders>
              <w:top w:val="single" w:sz="4" w:space="0" w:color="auto"/>
              <w:left w:val="single" w:sz="12" w:space="0" w:color="auto"/>
              <w:bottom w:val="single" w:sz="4" w:space="0" w:color="000000"/>
              <w:right w:val="single" w:sz="4" w:space="0" w:color="auto"/>
            </w:tcBorders>
            <w:vAlign w:val="center"/>
            <w:hideMark/>
          </w:tcPr>
          <w:p w14:paraId="2BF90E7E" w14:textId="77777777" w:rsidR="008D06F2" w:rsidRPr="000A7FD1" w:rsidRDefault="008D06F2" w:rsidP="008D06F2">
            <w:pPr>
              <w:widowControl/>
              <w:adjustRightInd/>
              <w:spacing w:before="0" w:after="0"/>
              <w:textAlignment w:val="auto"/>
              <w:rPr>
                <w:rFonts w:cs="Arial"/>
                <w:color w:val="000000"/>
                <w:sz w:val="20"/>
                <w:szCs w:val="20"/>
              </w:rPr>
            </w:pPr>
          </w:p>
        </w:tc>
        <w:tc>
          <w:tcPr>
            <w:tcW w:w="16005" w:type="dxa"/>
            <w:gridSpan w:val="9"/>
            <w:tcBorders>
              <w:top w:val="single" w:sz="4" w:space="0" w:color="auto"/>
              <w:left w:val="nil"/>
              <w:bottom w:val="single" w:sz="4" w:space="0" w:color="auto"/>
              <w:right w:val="single" w:sz="12" w:space="0" w:color="auto"/>
            </w:tcBorders>
            <w:shd w:val="clear" w:color="000000" w:fill="000000"/>
            <w:hideMark/>
          </w:tcPr>
          <w:p w14:paraId="0CADAFE6" w14:textId="77777777" w:rsidR="008D06F2" w:rsidRPr="000A7FD1" w:rsidRDefault="008D06F2" w:rsidP="008D06F2">
            <w:pPr>
              <w:widowControl/>
              <w:adjustRightInd/>
              <w:spacing w:before="0" w:after="0"/>
              <w:textAlignment w:val="auto"/>
              <w:rPr>
                <w:rFonts w:cs="Arial"/>
                <w:b/>
                <w:bCs/>
                <w:color w:val="FFFFFF"/>
                <w:sz w:val="20"/>
                <w:szCs w:val="20"/>
              </w:rPr>
            </w:pPr>
            <w:r w:rsidRPr="000A7FD1">
              <w:rPr>
                <w:rFonts w:cs="Arial"/>
                <w:b/>
                <w:bCs/>
                <w:color w:val="FFFFFF"/>
                <w:sz w:val="20"/>
                <w:szCs w:val="20"/>
              </w:rPr>
              <w:t>Line item/account related</w:t>
            </w:r>
          </w:p>
        </w:tc>
      </w:tr>
      <w:tr w:rsidR="008D06F2" w:rsidRPr="000A7FD1" w14:paraId="06592013" w14:textId="77777777" w:rsidTr="003B3190">
        <w:trPr>
          <w:cantSplit/>
          <w:trHeight w:val="2168"/>
        </w:trPr>
        <w:tc>
          <w:tcPr>
            <w:tcW w:w="1635" w:type="dxa"/>
            <w:vMerge/>
            <w:tcBorders>
              <w:top w:val="single" w:sz="4" w:space="0" w:color="auto"/>
              <w:left w:val="single" w:sz="12" w:space="0" w:color="auto"/>
              <w:bottom w:val="single" w:sz="4" w:space="0" w:color="000000"/>
              <w:right w:val="single" w:sz="4" w:space="0" w:color="auto"/>
            </w:tcBorders>
            <w:vAlign w:val="center"/>
            <w:hideMark/>
          </w:tcPr>
          <w:p w14:paraId="3B6BE758" w14:textId="77777777" w:rsidR="008D06F2" w:rsidRPr="000A7FD1" w:rsidRDefault="008D06F2" w:rsidP="008D06F2">
            <w:pPr>
              <w:widowControl/>
              <w:adjustRightInd/>
              <w:spacing w:before="0" w:after="0"/>
              <w:textAlignment w:val="auto"/>
              <w:rPr>
                <w:rFonts w:cs="Arial"/>
                <w:color w:val="000000"/>
                <w:sz w:val="20"/>
                <w:szCs w:val="20"/>
              </w:rPr>
            </w:pPr>
          </w:p>
        </w:tc>
        <w:tc>
          <w:tcPr>
            <w:tcW w:w="2563" w:type="dxa"/>
            <w:tcBorders>
              <w:top w:val="nil"/>
              <w:left w:val="nil"/>
              <w:bottom w:val="nil"/>
              <w:right w:val="nil"/>
            </w:tcBorders>
            <w:shd w:val="clear" w:color="auto" w:fill="auto"/>
            <w:hideMark/>
          </w:tcPr>
          <w:p w14:paraId="390F7C80" w14:textId="77777777" w:rsidR="008D06F2" w:rsidRPr="000A7FD1" w:rsidRDefault="008D06F2" w:rsidP="008D06F2">
            <w:pPr>
              <w:widowControl/>
              <w:adjustRightInd/>
              <w:spacing w:before="0" w:after="0"/>
              <w:textAlignment w:val="auto"/>
              <w:rPr>
                <w:rFonts w:cs="Arial"/>
                <w:sz w:val="20"/>
                <w:szCs w:val="20"/>
              </w:rPr>
            </w:pPr>
            <w:r w:rsidRPr="000A7FD1">
              <w:rPr>
                <w:rFonts w:cs="Arial"/>
                <w:sz w:val="20"/>
                <w:szCs w:val="20"/>
                <w:u w:val="single"/>
              </w:rPr>
              <w:t>Existence</w:t>
            </w:r>
            <w:r w:rsidRPr="000A7FD1">
              <w:rPr>
                <w:rFonts w:cs="Arial"/>
                <w:sz w:val="20"/>
                <w:szCs w:val="20"/>
              </w:rPr>
              <w:t>:</w:t>
            </w:r>
            <w:r w:rsidRPr="000A7FD1">
              <w:rPr>
                <w:rFonts w:cs="Arial"/>
                <w:sz w:val="20"/>
                <w:szCs w:val="20"/>
              </w:rPr>
              <w:br/>
              <w:t>4. Recorded assets, liabilities, net position, and budgetary balances do not exist at a given date. Projected revenues or expenditures in the sustainability statements are not valid.</w:t>
            </w:r>
          </w:p>
          <w:p w14:paraId="000269CF" w14:textId="77777777" w:rsidR="00520277" w:rsidRPr="000A7FD1" w:rsidRDefault="00520277" w:rsidP="008D06F2">
            <w:pPr>
              <w:widowControl/>
              <w:adjustRightInd/>
              <w:spacing w:before="0" w:after="0"/>
              <w:textAlignment w:val="auto"/>
              <w:rPr>
                <w:rFonts w:cs="Arial"/>
                <w:sz w:val="20"/>
                <w:szCs w:val="20"/>
              </w:rPr>
            </w:pPr>
          </w:p>
          <w:p w14:paraId="3597007F" w14:textId="77777777" w:rsidR="00EB276B" w:rsidRPr="000A7FD1" w:rsidRDefault="00EB276B" w:rsidP="008D06F2">
            <w:pPr>
              <w:widowControl/>
              <w:adjustRightInd/>
              <w:spacing w:before="0" w:after="0"/>
              <w:textAlignment w:val="auto"/>
              <w:rPr>
                <w:rFonts w:cs="Arial"/>
                <w:sz w:val="20"/>
                <w:szCs w:val="20"/>
              </w:rPr>
            </w:pPr>
          </w:p>
        </w:tc>
        <w:tc>
          <w:tcPr>
            <w:tcW w:w="1572" w:type="dxa"/>
            <w:tcBorders>
              <w:top w:val="nil"/>
              <w:left w:val="single" w:sz="4" w:space="0" w:color="auto"/>
              <w:bottom w:val="single" w:sz="4" w:space="0" w:color="auto"/>
              <w:right w:val="single" w:sz="8" w:space="0" w:color="auto"/>
            </w:tcBorders>
            <w:shd w:val="clear" w:color="auto" w:fill="auto"/>
            <w:hideMark/>
          </w:tcPr>
          <w:p w14:paraId="7CFAE6B1" w14:textId="77777777" w:rsidR="008D06F2" w:rsidRPr="000A7FD1" w:rsidRDefault="008D06F2" w:rsidP="008D06F2">
            <w:pPr>
              <w:widowControl/>
              <w:adjustRightInd/>
              <w:spacing w:before="0" w:after="0"/>
              <w:textAlignment w:val="auto"/>
              <w:rPr>
                <w:rFonts w:cs="Arial"/>
                <w:sz w:val="20"/>
                <w:szCs w:val="20"/>
              </w:rPr>
            </w:pPr>
            <w:r w:rsidRPr="000A7FD1">
              <w:rPr>
                <w:rFonts w:cs="Arial"/>
                <w:sz w:val="20"/>
                <w:szCs w:val="20"/>
              </w:rPr>
              <w:t>[e.g., cash balance, SCE.3]</w:t>
            </w:r>
          </w:p>
        </w:tc>
        <w:tc>
          <w:tcPr>
            <w:tcW w:w="1986" w:type="dxa"/>
            <w:tcBorders>
              <w:top w:val="nil"/>
              <w:left w:val="nil"/>
              <w:bottom w:val="single" w:sz="4" w:space="0" w:color="auto"/>
              <w:right w:val="single" w:sz="4" w:space="0" w:color="auto"/>
            </w:tcBorders>
            <w:shd w:val="clear" w:color="auto" w:fill="auto"/>
            <w:hideMark/>
          </w:tcPr>
          <w:p w14:paraId="40711D58"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456" w:type="dxa"/>
            <w:tcBorders>
              <w:top w:val="nil"/>
              <w:left w:val="nil"/>
              <w:bottom w:val="single" w:sz="4" w:space="0" w:color="auto"/>
              <w:right w:val="single" w:sz="4" w:space="0" w:color="auto"/>
            </w:tcBorders>
            <w:shd w:val="clear" w:color="auto" w:fill="auto"/>
            <w:hideMark/>
          </w:tcPr>
          <w:p w14:paraId="4E7F9B59"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768" w:type="dxa"/>
            <w:tcBorders>
              <w:top w:val="nil"/>
              <w:left w:val="nil"/>
              <w:bottom w:val="single" w:sz="4" w:space="0" w:color="auto"/>
              <w:right w:val="single" w:sz="12" w:space="0" w:color="auto"/>
            </w:tcBorders>
            <w:shd w:val="clear" w:color="auto" w:fill="auto"/>
            <w:hideMark/>
          </w:tcPr>
          <w:p w14:paraId="10779222"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814" w:type="dxa"/>
            <w:tcBorders>
              <w:top w:val="nil"/>
              <w:left w:val="single" w:sz="4" w:space="0" w:color="auto"/>
              <w:bottom w:val="single" w:sz="4" w:space="0" w:color="auto"/>
              <w:right w:val="single" w:sz="8" w:space="0" w:color="auto"/>
            </w:tcBorders>
            <w:shd w:val="clear" w:color="auto" w:fill="auto"/>
            <w:hideMark/>
          </w:tcPr>
          <w:p w14:paraId="562DCBF0"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793" w:type="dxa"/>
            <w:tcBorders>
              <w:top w:val="nil"/>
              <w:left w:val="nil"/>
              <w:bottom w:val="single" w:sz="4" w:space="0" w:color="auto"/>
              <w:right w:val="nil"/>
            </w:tcBorders>
            <w:shd w:val="clear" w:color="auto" w:fill="auto"/>
            <w:hideMark/>
          </w:tcPr>
          <w:p w14:paraId="35F588C2"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2077" w:type="dxa"/>
            <w:tcBorders>
              <w:top w:val="nil"/>
              <w:left w:val="single" w:sz="12" w:space="0" w:color="auto"/>
              <w:bottom w:val="single" w:sz="4" w:space="0" w:color="auto"/>
              <w:right w:val="single" w:sz="4" w:space="0" w:color="auto"/>
            </w:tcBorders>
            <w:shd w:val="clear" w:color="auto" w:fill="auto"/>
            <w:hideMark/>
          </w:tcPr>
          <w:p w14:paraId="278C5AC3"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976" w:type="dxa"/>
            <w:tcBorders>
              <w:top w:val="nil"/>
              <w:left w:val="nil"/>
              <w:bottom w:val="nil"/>
              <w:right w:val="single" w:sz="12" w:space="0" w:color="auto"/>
            </w:tcBorders>
            <w:shd w:val="clear" w:color="auto" w:fill="auto"/>
            <w:hideMark/>
          </w:tcPr>
          <w:p w14:paraId="4E82ADFA"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r>
      <w:tr w:rsidR="008D06F2" w:rsidRPr="000A7FD1" w14:paraId="3A99F9F3" w14:textId="77777777" w:rsidTr="003B3190">
        <w:trPr>
          <w:cantSplit/>
          <w:trHeight w:val="255"/>
        </w:trPr>
        <w:tc>
          <w:tcPr>
            <w:tcW w:w="1635" w:type="dxa"/>
            <w:vMerge w:val="restart"/>
            <w:tcBorders>
              <w:top w:val="single" w:sz="4" w:space="0" w:color="000000"/>
              <w:left w:val="single" w:sz="12" w:space="0" w:color="auto"/>
              <w:bottom w:val="single" w:sz="8" w:space="0" w:color="auto"/>
              <w:right w:val="single" w:sz="4" w:space="0" w:color="auto"/>
            </w:tcBorders>
            <w:shd w:val="clear" w:color="auto" w:fill="auto"/>
            <w:hideMark/>
          </w:tcPr>
          <w:p w14:paraId="24301A9F"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Completeness</w:t>
            </w:r>
          </w:p>
        </w:tc>
        <w:tc>
          <w:tcPr>
            <w:tcW w:w="16005" w:type="dxa"/>
            <w:gridSpan w:val="9"/>
            <w:tcBorders>
              <w:top w:val="single" w:sz="4" w:space="0" w:color="auto"/>
              <w:left w:val="nil"/>
              <w:bottom w:val="single" w:sz="4" w:space="0" w:color="auto"/>
              <w:right w:val="single" w:sz="12" w:space="0" w:color="auto"/>
            </w:tcBorders>
            <w:shd w:val="clear" w:color="000000" w:fill="000000"/>
            <w:hideMark/>
          </w:tcPr>
          <w:p w14:paraId="647A158F" w14:textId="77777777" w:rsidR="008D06F2" w:rsidRPr="000A7FD1" w:rsidRDefault="008D06F2" w:rsidP="008D06F2">
            <w:pPr>
              <w:widowControl/>
              <w:adjustRightInd/>
              <w:spacing w:before="0" w:after="0"/>
              <w:textAlignment w:val="auto"/>
              <w:rPr>
                <w:rFonts w:cs="Arial"/>
                <w:b/>
                <w:bCs/>
                <w:color w:val="FFFFFF"/>
                <w:sz w:val="20"/>
                <w:szCs w:val="20"/>
              </w:rPr>
            </w:pPr>
            <w:r w:rsidRPr="000A7FD1">
              <w:rPr>
                <w:rFonts w:cs="Arial"/>
                <w:b/>
                <w:bCs/>
                <w:color w:val="FFFFFF"/>
                <w:sz w:val="20"/>
                <w:szCs w:val="20"/>
              </w:rPr>
              <w:t>Transaction related</w:t>
            </w:r>
          </w:p>
        </w:tc>
      </w:tr>
      <w:tr w:rsidR="008D06F2" w:rsidRPr="000A7FD1" w14:paraId="0CAA380E" w14:textId="77777777" w:rsidTr="003B3190">
        <w:trPr>
          <w:cantSplit/>
          <w:trHeight w:val="908"/>
        </w:trPr>
        <w:tc>
          <w:tcPr>
            <w:tcW w:w="1635" w:type="dxa"/>
            <w:vMerge/>
            <w:tcBorders>
              <w:top w:val="single" w:sz="4" w:space="0" w:color="000000"/>
              <w:left w:val="single" w:sz="12" w:space="0" w:color="auto"/>
              <w:bottom w:val="single" w:sz="8" w:space="0" w:color="auto"/>
              <w:right w:val="single" w:sz="4" w:space="0" w:color="auto"/>
            </w:tcBorders>
            <w:vAlign w:val="center"/>
            <w:hideMark/>
          </w:tcPr>
          <w:p w14:paraId="4016A170" w14:textId="77777777" w:rsidR="008D06F2" w:rsidRPr="000A7FD1" w:rsidRDefault="008D06F2" w:rsidP="008D06F2">
            <w:pPr>
              <w:widowControl/>
              <w:adjustRightInd/>
              <w:spacing w:before="0" w:after="0"/>
              <w:textAlignment w:val="auto"/>
              <w:rPr>
                <w:rFonts w:cs="Arial"/>
                <w:color w:val="000000"/>
                <w:sz w:val="20"/>
                <w:szCs w:val="20"/>
              </w:rPr>
            </w:pPr>
          </w:p>
        </w:tc>
        <w:tc>
          <w:tcPr>
            <w:tcW w:w="2563" w:type="dxa"/>
            <w:vMerge w:val="restart"/>
            <w:tcBorders>
              <w:top w:val="nil"/>
              <w:left w:val="single" w:sz="4" w:space="0" w:color="auto"/>
              <w:bottom w:val="single" w:sz="4" w:space="0" w:color="000000"/>
              <w:right w:val="single" w:sz="4" w:space="0" w:color="auto"/>
            </w:tcBorders>
            <w:shd w:val="clear" w:color="auto" w:fill="auto"/>
            <w:hideMark/>
          </w:tcPr>
          <w:p w14:paraId="74B500A1"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u w:val="single"/>
              </w:rPr>
              <w:t>Transaction completeness</w:t>
            </w:r>
            <w:r w:rsidRPr="000A7FD1">
              <w:rPr>
                <w:rFonts w:cs="Arial"/>
                <w:color w:val="000000"/>
                <w:sz w:val="20"/>
                <w:szCs w:val="20"/>
              </w:rPr>
              <w:t>:</w:t>
            </w:r>
            <w:r w:rsidRPr="000A7FD1">
              <w:rPr>
                <w:rFonts w:cs="Arial"/>
                <w:color w:val="000000"/>
                <w:sz w:val="20"/>
                <w:szCs w:val="20"/>
              </w:rPr>
              <w:br/>
              <w:t>5. Valid transactions and events are not recorded or are recorded in the incorrect accounts.</w:t>
            </w:r>
          </w:p>
          <w:p w14:paraId="5E9E1630" w14:textId="77777777" w:rsidR="00EB276B" w:rsidRPr="000A7FD1" w:rsidRDefault="00EB276B" w:rsidP="008D06F2">
            <w:pPr>
              <w:widowControl/>
              <w:adjustRightInd/>
              <w:spacing w:before="0" w:after="0"/>
              <w:textAlignment w:val="auto"/>
              <w:rPr>
                <w:rFonts w:cs="Arial"/>
                <w:color w:val="000000"/>
                <w:sz w:val="20"/>
                <w:szCs w:val="20"/>
              </w:rPr>
            </w:pPr>
          </w:p>
          <w:p w14:paraId="24C11110" w14:textId="77777777" w:rsidR="008D06F2" w:rsidRPr="000A7FD1" w:rsidRDefault="008D06F2" w:rsidP="008D06F2">
            <w:pPr>
              <w:widowControl/>
              <w:adjustRightInd/>
              <w:spacing w:before="0" w:after="0"/>
              <w:textAlignment w:val="auto"/>
              <w:rPr>
                <w:rFonts w:cs="Arial"/>
                <w:color w:val="000000"/>
                <w:sz w:val="20"/>
                <w:szCs w:val="20"/>
              </w:rPr>
            </w:pPr>
          </w:p>
          <w:p w14:paraId="3F3C2E70" w14:textId="77777777" w:rsidR="008D06F2" w:rsidRPr="000A7FD1" w:rsidRDefault="008D06F2" w:rsidP="008D06F2">
            <w:pPr>
              <w:widowControl/>
              <w:adjustRightInd/>
              <w:spacing w:before="0" w:after="0"/>
              <w:textAlignment w:val="auto"/>
              <w:rPr>
                <w:rFonts w:cs="Arial"/>
                <w:color w:val="000000"/>
                <w:sz w:val="20"/>
                <w:szCs w:val="20"/>
              </w:rPr>
            </w:pPr>
          </w:p>
        </w:tc>
        <w:tc>
          <w:tcPr>
            <w:tcW w:w="1572" w:type="dxa"/>
            <w:tcBorders>
              <w:top w:val="nil"/>
              <w:left w:val="nil"/>
              <w:bottom w:val="single" w:sz="4" w:space="0" w:color="auto"/>
              <w:right w:val="single" w:sz="8" w:space="0" w:color="auto"/>
            </w:tcBorders>
            <w:shd w:val="clear" w:color="auto" w:fill="auto"/>
            <w:hideMark/>
          </w:tcPr>
          <w:p w14:paraId="2671C965"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p w14:paraId="42221F15" w14:textId="77777777" w:rsidR="008D06F2" w:rsidRPr="000A7FD1" w:rsidRDefault="008D06F2" w:rsidP="008D06F2">
            <w:pPr>
              <w:widowControl/>
              <w:adjustRightInd/>
              <w:spacing w:before="0" w:after="0"/>
              <w:textAlignment w:val="auto"/>
              <w:rPr>
                <w:rFonts w:cs="Arial"/>
                <w:color w:val="000000"/>
                <w:sz w:val="20"/>
                <w:szCs w:val="20"/>
              </w:rPr>
            </w:pPr>
          </w:p>
          <w:p w14:paraId="02CE55FC" w14:textId="77777777" w:rsidR="008D06F2" w:rsidRPr="000A7FD1" w:rsidRDefault="008D06F2" w:rsidP="008D06F2">
            <w:pPr>
              <w:widowControl/>
              <w:adjustRightInd/>
              <w:spacing w:before="0" w:after="0"/>
              <w:textAlignment w:val="auto"/>
              <w:rPr>
                <w:rFonts w:cs="Arial"/>
                <w:color w:val="000000"/>
                <w:sz w:val="20"/>
                <w:szCs w:val="20"/>
              </w:rPr>
            </w:pPr>
          </w:p>
        </w:tc>
        <w:tc>
          <w:tcPr>
            <w:tcW w:w="1986" w:type="dxa"/>
            <w:tcBorders>
              <w:top w:val="nil"/>
              <w:left w:val="nil"/>
              <w:bottom w:val="single" w:sz="4" w:space="0" w:color="auto"/>
              <w:right w:val="single" w:sz="4" w:space="0" w:color="auto"/>
            </w:tcBorders>
            <w:shd w:val="clear" w:color="auto" w:fill="auto"/>
            <w:hideMark/>
          </w:tcPr>
          <w:p w14:paraId="40C5491D"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456" w:type="dxa"/>
            <w:tcBorders>
              <w:top w:val="nil"/>
              <w:left w:val="nil"/>
              <w:bottom w:val="single" w:sz="4" w:space="0" w:color="auto"/>
              <w:right w:val="single" w:sz="4" w:space="0" w:color="auto"/>
            </w:tcBorders>
            <w:shd w:val="clear" w:color="auto" w:fill="auto"/>
            <w:hideMark/>
          </w:tcPr>
          <w:p w14:paraId="6B92A996"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68" w:type="dxa"/>
            <w:tcBorders>
              <w:top w:val="nil"/>
              <w:left w:val="nil"/>
              <w:bottom w:val="single" w:sz="4" w:space="0" w:color="auto"/>
              <w:right w:val="single" w:sz="12" w:space="0" w:color="auto"/>
            </w:tcBorders>
            <w:shd w:val="clear" w:color="auto" w:fill="auto"/>
            <w:hideMark/>
          </w:tcPr>
          <w:p w14:paraId="7480DE58"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814" w:type="dxa"/>
            <w:tcBorders>
              <w:top w:val="nil"/>
              <w:left w:val="single" w:sz="4" w:space="0" w:color="auto"/>
              <w:bottom w:val="single" w:sz="4" w:space="0" w:color="auto"/>
              <w:right w:val="single" w:sz="8" w:space="0" w:color="auto"/>
            </w:tcBorders>
            <w:shd w:val="clear" w:color="auto" w:fill="auto"/>
            <w:hideMark/>
          </w:tcPr>
          <w:p w14:paraId="0EDEC3BE"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93" w:type="dxa"/>
            <w:tcBorders>
              <w:top w:val="nil"/>
              <w:left w:val="nil"/>
              <w:bottom w:val="single" w:sz="4" w:space="0" w:color="auto"/>
              <w:right w:val="nil"/>
            </w:tcBorders>
            <w:shd w:val="clear" w:color="auto" w:fill="auto"/>
            <w:hideMark/>
          </w:tcPr>
          <w:p w14:paraId="1308078C"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2077" w:type="dxa"/>
            <w:tcBorders>
              <w:top w:val="nil"/>
              <w:left w:val="single" w:sz="12" w:space="0" w:color="auto"/>
              <w:bottom w:val="single" w:sz="4" w:space="0" w:color="auto"/>
              <w:right w:val="single" w:sz="4" w:space="0" w:color="auto"/>
            </w:tcBorders>
            <w:shd w:val="clear" w:color="auto" w:fill="auto"/>
            <w:hideMark/>
          </w:tcPr>
          <w:p w14:paraId="36165030"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976" w:type="dxa"/>
            <w:tcBorders>
              <w:top w:val="nil"/>
              <w:left w:val="nil"/>
              <w:bottom w:val="single" w:sz="4" w:space="0" w:color="auto"/>
              <w:right w:val="single" w:sz="12" w:space="0" w:color="auto"/>
            </w:tcBorders>
            <w:shd w:val="clear" w:color="auto" w:fill="auto"/>
            <w:hideMark/>
          </w:tcPr>
          <w:p w14:paraId="110F2279"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r>
      <w:tr w:rsidR="008D06F2" w:rsidRPr="000A7FD1" w14:paraId="07BE85CA" w14:textId="77777777" w:rsidTr="003B3190">
        <w:trPr>
          <w:cantSplit/>
          <w:trHeight w:val="935"/>
        </w:trPr>
        <w:tc>
          <w:tcPr>
            <w:tcW w:w="1635" w:type="dxa"/>
            <w:vMerge/>
            <w:tcBorders>
              <w:top w:val="single" w:sz="4" w:space="0" w:color="000000"/>
              <w:left w:val="single" w:sz="12" w:space="0" w:color="auto"/>
              <w:bottom w:val="single" w:sz="8" w:space="0" w:color="auto"/>
              <w:right w:val="single" w:sz="4" w:space="0" w:color="auto"/>
            </w:tcBorders>
            <w:vAlign w:val="center"/>
            <w:hideMark/>
          </w:tcPr>
          <w:p w14:paraId="7935181F" w14:textId="77777777" w:rsidR="008D06F2" w:rsidRPr="000A7FD1" w:rsidRDefault="008D06F2" w:rsidP="008D06F2">
            <w:pPr>
              <w:widowControl/>
              <w:adjustRightInd/>
              <w:spacing w:before="0" w:after="0"/>
              <w:textAlignment w:val="auto"/>
              <w:rPr>
                <w:rFonts w:cs="Arial"/>
                <w:color w:val="000000"/>
                <w:sz w:val="20"/>
                <w:szCs w:val="20"/>
              </w:rPr>
            </w:pPr>
          </w:p>
        </w:tc>
        <w:tc>
          <w:tcPr>
            <w:tcW w:w="2563" w:type="dxa"/>
            <w:vMerge/>
            <w:tcBorders>
              <w:top w:val="nil"/>
              <w:left w:val="single" w:sz="4" w:space="0" w:color="auto"/>
              <w:bottom w:val="single" w:sz="4" w:space="0" w:color="000000"/>
              <w:right w:val="single" w:sz="4" w:space="0" w:color="auto"/>
            </w:tcBorders>
            <w:vAlign w:val="center"/>
            <w:hideMark/>
          </w:tcPr>
          <w:p w14:paraId="04EB4F75" w14:textId="77777777" w:rsidR="008D06F2" w:rsidRPr="000A7FD1" w:rsidRDefault="008D06F2" w:rsidP="008D06F2">
            <w:pPr>
              <w:widowControl/>
              <w:adjustRightInd/>
              <w:spacing w:before="0" w:after="0"/>
              <w:textAlignment w:val="auto"/>
              <w:rPr>
                <w:rFonts w:cs="Arial"/>
                <w:color w:val="000000"/>
                <w:sz w:val="20"/>
                <w:szCs w:val="20"/>
              </w:rPr>
            </w:pPr>
          </w:p>
        </w:tc>
        <w:tc>
          <w:tcPr>
            <w:tcW w:w="1572" w:type="dxa"/>
            <w:tcBorders>
              <w:top w:val="nil"/>
              <w:left w:val="nil"/>
              <w:bottom w:val="single" w:sz="4" w:space="0" w:color="auto"/>
              <w:right w:val="single" w:sz="8" w:space="0" w:color="auto"/>
            </w:tcBorders>
            <w:shd w:val="clear" w:color="auto" w:fill="auto"/>
            <w:hideMark/>
          </w:tcPr>
          <w:p w14:paraId="5253E816"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986" w:type="dxa"/>
            <w:tcBorders>
              <w:top w:val="nil"/>
              <w:left w:val="nil"/>
              <w:bottom w:val="single" w:sz="4" w:space="0" w:color="auto"/>
              <w:right w:val="single" w:sz="4" w:space="0" w:color="auto"/>
            </w:tcBorders>
            <w:shd w:val="clear" w:color="auto" w:fill="auto"/>
            <w:hideMark/>
          </w:tcPr>
          <w:p w14:paraId="77FB70C0"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456" w:type="dxa"/>
            <w:tcBorders>
              <w:top w:val="nil"/>
              <w:left w:val="nil"/>
              <w:bottom w:val="single" w:sz="4" w:space="0" w:color="auto"/>
              <w:right w:val="single" w:sz="4" w:space="0" w:color="auto"/>
            </w:tcBorders>
            <w:shd w:val="clear" w:color="auto" w:fill="auto"/>
            <w:hideMark/>
          </w:tcPr>
          <w:p w14:paraId="04217103"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68" w:type="dxa"/>
            <w:tcBorders>
              <w:top w:val="nil"/>
              <w:left w:val="nil"/>
              <w:bottom w:val="single" w:sz="4" w:space="0" w:color="auto"/>
              <w:right w:val="single" w:sz="12" w:space="0" w:color="auto"/>
            </w:tcBorders>
            <w:shd w:val="clear" w:color="auto" w:fill="auto"/>
            <w:hideMark/>
          </w:tcPr>
          <w:p w14:paraId="11F92BED"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814" w:type="dxa"/>
            <w:tcBorders>
              <w:top w:val="nil"/>
              <w:left w:val="single" w:sz="4" w:space="0" w:color="auto"/>
              <w:bottom w:val="single" w:sz="4" w:space="0" w:color="auto"/>
              <w:right w:val="single" w:sz="8" w:space="0" w:color="auto"/>
            </w:tcBorders>
            <w:shd w:val="clear" w:color="auto" w:fill="auto"/>
            <w:hideMark/>
          </w:tcPr>
          <w:p w14:paraId="1F16E08B"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93" w:type="dxa"/>
            <w:tcBorders>
              <w:top w:val="nil"/>
              <w:left w:val="nil"/>
              <w:bottom w:val="single" w:sz="4" w:space="0" w:color="auto"/>
              <w:right w:val="nil"/>
            </w:tcBorders>
            <w:shd w:val="clear" w:color="auto" w:fill="auto"/>
            <w:hideMark/>
          </w:tcPr>
          <w:p w14:paraId="4BB0E5E0"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2077" w:type="dxa"/>
            <w:tcBorders>
              <w:top w:val="nil"/>
              <w:left w:val="single" w:sz="12" w:space="0" w:color="auto"/>
              <w:bottom w:val="single" w:sz="4" w:space="0" w:color="auto"/>
              <w:right w:val="single" w:sz="4" w:space="0" w:color="auto"/>
            </w:tcBorders>
            <w:shd w:val="clear" w:color="auto" w:fill="auto"/>
            <w:hideMark/>
          </w:tcPr>
          <w:p w14:paraId="5C6F90C0"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976" w:type="dxa"/>
            <w:tcBorders>
              <w:top w:val="nil"/>
              <w:left w:val="nil"/>
              <w:bottom w:val="single" w:sz="4" w:space="0" w:color="auto"/>
              <w:right w:val="single" w:sz="12" w:space="0" w:color="auto"/>
            </w:tcBorders>
            <w:shd w:val="clear" w:color="auto" w:fill="auto"/>
            <w:hideMark/>
          </w:tcPr>
          <w:p w14:paraId="3F10EF71"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r>
      <w:tr w:rsidR="008D06F2" w:rsidRPr="000A7FD1" w14:paraId="20524173" w14:textId="77777777" w:rsidTr="003B3190">
        <w:trPr>
          <w:cantSplit/>
          <w:trHeight w:val="845"/>
        </w:trPr>
        <w:tc>
          <w:tcPr>
            <w:tcW w:w="1635" w:type="dxa"/>
            <w:vMerge/>
            <w:tcBorders>
              <w:top w:val="single" w:sz="4" w:space="0" w:color="000000"/>
              <w:left w:val="single" w:sz="12" w:space="0" w:color="auto"/>
              <w:bottom w:val="single" w:sz="8" w:space="0" w:color="auto"/>
              <w:right w:val="single" w:sz="4" w:space="0" w:color="auto"/>
            </w:tcBorders>
            <w:vAlign w:val="center"/>
            <w:hideMark/>
          </w:tcPr>
          <w:p w14:paraId="331F51A7" w14:textId="77777777" w:rsidR="008D06F2" w:rsidRPr="000A7FD1" w:rsidRDefault="008D06F2" w:rsidP="008D06F2">
            <w:pPr>
              <w:widowControl/>
              <w:adjustRightInd/>
              <w:spacing w:before="0" w:after="0"/>
              <w:textAlignment w:val="auto"/>
              <w:rPr>
                <w:rFonts w:cs="Arial"/>
                <w:color w:val="000000"/>
                <w:sz w:val="20"/>
                <w:szCs w:val="20"/>
              </w:rPr>
            </w:pPr>
          </w:p>
        </w:tc>
        <w:tc>
          <w:tcPr>
            <w:tcW w:w="2563" w:type="dxa"/>
            <w:vMerge w:val="restart"/>
            <w:tcBorders>
              <w:top w:val="nil"/>
              <w:left w:val="single" w:sz="4" w:space="0" w:color="auto"/>
              <w:bottom w:val="single" w:sz="4" w:space="0" w:color="000000"/>
              <w:right w:val="single" w:sz="4" w:space="0" w:color="auto"/>
            </w:tcBorders>
            <w:shd w:val="clear" w:color="auto" w:fill="auto"/>
            <w:hideMark/>
          </w:tcPr>
          <w:p w14:paraId="75139DA4"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u w:val="single"/>
              </w:rPr>
              <w:t>Cutoff</w:t>
            </w:r>
            <w:r w:rsidRPr="000A7FD1">
              <w:rPr>
                <w:rFonts w:cs="Arial"/>
                <w:color w:val="000000"/>
                <w:sz w:val="20"/>
                <w:szCs w:val="20"/>
              </w:rPr>
              <w:t>:</w:t>
            </w:r>
            <w:r w:rsidRPr="000A7FD1">
              <w:rPr>
                <w:rFonts w:cs="Arial"/>
                <w:color w:val="000000"/>
                <w:sz w:val="20"/>
                <w:szCs w:val="20"/>
              </w:rPr>
              <w:br/>
              <w:t>6. Transactions and events occurred in the current period but are recorded in a different period.</w:t>
            </w:r>
          </w:p>
          <w:p w14:paraId="74CC654C" w14:textId="77777777" w:rsidR="00EB276B" w:rsidRPr="000A7FD1" w:rsidRDefault="00EB276B" w:rsidP="008D06F2">
            <w:pPr>
              <w:widowControl/>
              <w:adjustRightInd/>
              <w:spacing w:before="0" w:after="0"/>
              <w:textAlignment w:val="auto"/>
              <w:rPr>
                <w:rFonts w:cs="Arial"/>
                <w:color w:val="000000"/>
                <w:sz w:val="20"/>
                <w:szCs w:val="20"/>
              </w:rPr>
            </w:pPr>
          </w:p>
          <w:p w14:paraId="538C4125" w14:textId="6880CCD2" w:rsidR="008D06F2" w:rsidRPr="000A7FD1" w:rsidRDefault="008D06F2" w:rsidP="008D06F2">
            <w:pPr>
              <w:widowControl/>
              <w:adjustRightInd/>
              <w:spacing w:before="0" w:after="0"/>
              <w:textAlignment w:val="auto"/>
              <w:rPr>
                <w:rFonts w:cs="Arial"/>
                <w:color w:val="000000"/>
                <w:sz w:val="20"/>
                <w:szCs w:val="20"/>
              </w:rPr>
            </w:pPr>
          </w:p>
        </w:tc>
        <w:tc>
          <w:tcPr>
            <w:tcW w:w="1572" w:type="dxa"/>
            <w:tcBorders>
              <w:top w:val="nil"/>
              <w:left w:val="nil"/>
              <w:bottom w:val="single" w:sz="4" w:space="0" w:color="auto"/>
              <w:right w:val="single" w:sz="8" w:space="0" w:color="auto"/>
            </w:tcBorders>
            <w:shd w:val="clear" w:color="auto" w:fill="auto"/>
            <w:hideMark/>
          </w:tcPr>
          <w:p w14:paraId="6F518B2C"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p w14:paraId="0DB46D1D" w14:textId="77777777" w:rsidR="008D06F2" w:rsidRPr="000A7FD1" w:rsidRDefault="008D06F2" w:rsidP="008D06F2">
            <w:pPr>
              <w:widowControl/>
              <w:adjustRightInd/>
              <w:spacing w:before="0" w:after="0"/>
              <w:textAlignment w:val="auto"/>
              <w:rPr>
                <w:rFonts w:cs="Arial"/>
                <w:color w:val="000000"/>
                <w:sz w:val="20"/>
                <w:szCs w:val="20"/>
              </w:rPr>
            </w:pPr>
          </w:p>
          <w:p w14:paraId="46ABFB3D" w14:textId="77777777" w:rsidR="008D06F2" w:rsidRPr="000A7FD1" w:rsidRDefault="008D06F2" w:rsidP="008D06F2">
            <w:pPr>
              <w:widowControl/>
              <w:adjustRightInd/>
              <w:spacing w:before="0" w:after="0"/>
              <w:textAlignment w:val="auto"/>
              <w:rPr>
                <w:rFonts w:cs="Arial"/>
                <w:color w:val="000000"/>
                <w:sz w:val="20"/>
                <w:szCs w:val="20"/>
              </w:rPr>
            </w:pPr>
          </w:p>
        </w:tc>
        <w:tc>
          <w:tcPr>
            <w:tcW w:w="1986" w:type="dxa"/>
            <w:tcBorders>
              <w:top w:val="nil"/>
              <w:left w:val="nil"/>
              <w:bottom w:val="single" w:sz="4" w:space="0" w:color="auto"/>
              <w:right w:val="single" w:sz="4" w:space="0" w:color="auto"/>
            </w:tcBorders>
            <w:shd w:val="clear" w:color="auto" w:fill="auto"/>
            <w:hideMark/>
          </w:tcPr>
          <w:p w14:paraId="4ED221FC"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456" w:type="dxa"/>
            <w:tcBorders>
              <w:top w:val="nil"/>
              <w:left w:val="nil"/>
              <w:bottom w:val="single" w:sz="4" w:space="0" w:color="auto"/>
              <w:right w:val="single" w:sz="4" w:space="0" w:color="auto"/>
            </w:tcBorders>
            <w:shd w:val="clear" w:color="auto" w:fill="auto"/>
            <w:hideMark/>
          </w:tcPr>
          <w:p w14:paraId="6E6E9DAE"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68" w:type="dxa"/>
            <w:tcBorders>
              <w:top w:val="nil"/>
              <w:left w:val="nil"/>
              <w:bottom w:val="single" w:sz="4" w:space="0" w:color="auto"/>
              <w:right w:val="single" w:sz="12" w:space="0" w:color="auto"/>
            </w:tcBorders>
            <w:shd w:val="clear" w:color="auto" w:fill="auto"/>
            <w:hideMark/>
          </w:tcPr>
          <w:p w14:paraId="24A413F3"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814" w:type="dxa"/>
            <w:tcBorders>
              <w:top w:val="nil"/>
              <w:left w:val="single" w:sz="4" w:space="0" w:color="auto"/>
              <w:bottom w:val="single" w:sz="4" w:space="0" w:color="auto"/>
              <w:right w:val="single" w:sz="8" w:space="0" w:color="auto"/>
            </w:tcBorders>
            <w:shd w:val="clear" w:color="auto" w:fill="auto"/>
            <w:hideMark/>
          </w:tcPr>
          <w:p w14:paraId="459E0EF1"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93" w:type="dxa"/>
            <w:tcBorders>
              <w:top w:val="nil"/>
              <w:left w:val="nil"/>
              <w:bottom w:val="single" w:sz="4" w:space="0" w:color="auto"/>
              <w:right w:val="nil"/>
            </w:tcBorders>
            <w:shd w:val="clear" w:color="auto" w:fill="auto"/>
            <w:hideMark/>
          </w:tcPr>
          <w:p w14:paraId="5BB02032"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2077" w:type="dxa"/>
            <w:tcBorders>
              <w:top w:val="nil"/>
              <w:left w:val="single" w:sz="12" w:space="0" w:color="auto"/>
              <w:bottom w:val="single" w:sz="4" w:space="0" w:color="auto"/>
              <w:right w:val="single" w:sz="4" w:space="0" w:color="auto"/>
            </w:tcBorders>
            <w:shd w:val="clear" w:color="auto" w:fill="auto"/>
            <w:hideMark/>
          </w:tcPr>
          <w:p w14:paraId="0ED0068B"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976" w:type="dxa"/>
            <w:tcBorders>
              <w:top w:val="nil"/>
              <w:left w:val="nil"/>
              <w:bottom w:val="single" w:sz="4" w:space="0" w:color="auto"/>
              <w:right w:val="single" w:sz="12" w:space="0" w:color="auto"/>
            </w:tcBorders>
            <w:shd w:val="clear" w:color="auto" w:fill="auto"/>
            <w:hideMark/>
          </w:tcPr>
          <w:p w14:paraId="5D97B6F2"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r>
      <w:tr w:rsidR="008D06F2" w:rsidRPr="000A7FD1" w14:paraId="1400E3CC" w14:textId="77777777" w:rsidTr="003B3190">
        <w:trPr>
          <w:cantSplit/>
          <w:trHeight w:val="750"/>
        </w:trPr>
        <w:tc>
          <w:tcPr>
            <w:tcW w:w="1635" w:type="dxa"/>
            <w:vMerge/>
            <w:tcBorders>
              <w:top w:val="single" w:sz="4" w:space="0" w:color="000000"/>
              <w:left w:val="single" w:sz="12" w:space="0" w:color="auto"/>
              <w:bottom w:val="single" w:sz="8" w:space="0" w:color="auto"/>
              <w:right w:val="single" w:sz="4" w:space="0" w:color="auto"/>
            </w:tcBorders>
            <w:vAlign w:val="center"/>
            <w:hideMark/>
          </w:tcPr>
          <w:p w14:paraId="0EA5A2F6" w14:textId="77777777" w:rsidR="008D06F2" w:rsidRPr="000A7FD1" w:rsidRDefault="008D06F2" w:rsidP="008D06F2">
            <w:pPr>
              <w:widowControl/>
              <w:adjustRightInd/>
              <w:spacing w:before="0" w:after="0"/>
              <w:textAlignment w:val="auto"/>
              <w:rPr>
                <w:rFonts w:cs="Arial"/>
                <w:color w:val="000000"/>
                <w:sz w:val="20"/>
                <w:szCs w:val="20"/>
              </w:rPr>
            </w:pPr>
          </w:p>
        </w:tc>
        <w:tc>
          <w:tcPr>
            <w:tcW w:w="2563" w:type="dxa"/>
            <w:vMerge/>
            <w:tcBorders>
              <w:top w:val="nil"/>
              <w:left w:val="single" w:sz="4" w:space="0" w:color="auto"/>
              <w:bottom w:val="single" w:sz="8" w:space="0" w:color="auto"/>
              <w:right w:val="single" w:sz="4" w:space="0" w:color="auto"/>
            </w:tcBorders>
            <w:vAlign w:val="center"/>
            <w:hideMark/>
          </w:tcPr>
          <w:p w14:paraId="0369641A" w14:textId="77777777" w:rsidR="008D06F2" w:rsidRPr="000A7FD1" w:rsidRDefault="008D06F2" w:rsidP="008D06F2">
            <w:pPr>
              <w:widowControl/>
              <w:adjustRightInd/>
              <w:spacing w:before="0" w:after="0"/>
              <w:textAlignment w:val="auto"/>
              <w:rPr>
                <w:rFonts w:cs="Arial"/>
                <w:color w:val="000000"/>
                <w:sz w:val="20"/>
                <w:szCs w:val="20"/>
              </w:rPr>
            </w:pPr>
          </w:p>
        </w:tc>
        <w:tc>
          <w:tcPr>
            <w:tcW w:w="1572" w:type="dxa"/>
            <w:tcBorders>
              <w:top w:val="nil"/>
              <w:left w:val="nil"/>
              <w:bottom w:val="single" w:sz="8" w:space="0" w:color="auto"/>
              <w:right w:val="single" w:sz="8" w:space="0" w:color="auto"/>
            </w:tcBorders>
            <w:shd w:val="clear" w:color="auto" w:fill="auto"/>
            <w:hideMark/>
          </w:tcPr>
          <w:p w14:paraId="7D31FDC7"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986" w:type="dxa"/>
            <w:tcBorders>
              <w:top w:val="nil"/>
              <w:left w:val="nil"/>
              <w:bottom w:val="single" w:sz="8" w:space="0" w:color="auto"/>
              <w:right w:val="single" w:sz="4" w:space="0" w:color="auto"/>
            </w:tcBorders>
            <w:shd w:val="clear" w:color="auto" w:fill="auto"/>
            <w:hideMark/>
          </w:tcPr>
          <w:p w14:paraId="01E1AE50"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456" w:type="dxa"/>
            <w:tcBorders>
              <w:top w:val="nil"/>
              <w:left w:val="nil"/>
              <w:bottom w:val="single" w:sz="8" w:space="0" w:color="auto"/>
              <w:right w:val="single" w:sz="4" w:space="0" w:color="auto"/>
            </w:tcBorders>
            <w:shd w:val="clear" w:color="auto" w:fill="auto"/>
            <w:hideMark/>
          </w:tcPr>
          <w:p w14:paraId="49E8DFA5"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68" w:type="dxa"/>
            <w:tcBorders>
              <w:top w:val="nil"/>
              <w:left w:val="nil"/>
              <w:bottom w:val="single" w:sz="8" w:space="0" w:color="auto"/>
              <w:right w:val="single" w:sz="12" w:space="0" w:color="auto"/>
            </w:tcBorders>
            <w:shd w:val="clear" w:color="auto" w:fill="auto"/>
            <w:hideMark/>
          </w:tcPr>
          <w:p w14:paraId="05D899B5"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814" w:type="dxa"/>
            <w:tcBorders>
              <w:top w:val="nil"/>
              <w:left w:val="single" w:sz="4" w:space="0" w:color="auto"/>
              <w:bottom w:val="single" w:sz="8" w:space="0" w:color="auto"/>
              <w:right w:val="single" w:sz="8" w:space="0" w:color="auto"/>
            </w:tcBorders>
            <w:shd w:val="clear" w:color="auto" w:fill="auto"/>
            <w:hideMark/>
          </w:tcPr>
          <w:p w14:paraId="618D7A49"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93" w:type="dxa"/>
            <w:tcBorders>
              <w:top w:val="nil"/>
              <w:left w:val="nil"/>
              <w:bottom w:val="single" w:sz="8" w:space="0" w:color="auto"/>
              <w:right w:val="nil"/>
            </w:tcBorders>
            <w:shd w:val="clear" w:color="auto" w:fill="auto"/>
            <w:hideMark/>
          </w:tcPr>
          <w:p w14:paraId="0B9931F1"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2077" w:type="dxa"/>
            <w:tcBorders>
              <w:top w:val="nil"/>
              <w:left w:val="single" w:sz="12" w:space="0" w:color="auto"/>
              <w:bottom w:val="single" w:sz="8" w:space="0" w:color="auto"/>
              <w:right w:val="single" w:sz="4" w:space="0" w:color="auto"/>
            </w:tcBorders>
            <w:shd w:val="clear" w:color="auto" w:fill="auto"/>
            <w:hideMark/>
          </w:tcPr>
          <w:p w14:paraId="0F1DA1DA"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976" w:type="dxa"/>
            <w:tcBorders>
              <w:top w:val="nil"/>
              <w:left w:val="nil"/>
              <w:bottom w:val="single" w:sz="8" w:space="0" w:color="auto"/>
              <w:right w:val="single" w:sz="12" w:space="0" w:color="auto"/>
            </w:tcBorders>
            <w:shd w:val="clear" w:color="auto" w:fill="auto"/>
            <w:hideMark/>
          </w:tcPr>
          <w:p w14:paraId="7ED6DD9E"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r>
      <w:tr w:rsidR="008D06F2" w:rsidRPr="000A7FD1" w14:paraId="30B49A98" w14:textId="77777777" w:rsidTr="003B3190">
        <w:trPr>
          <w:cantSplit/>
          <w:trHeight w:val="853"/>
        </w:trPr>
        <w:tc>
          <w:tcPr>
            <w:tcW w:w="1635" w:type="dxa"/>
            <w:vMerge/>
            <w:tcBorders>
              <w:top w:val="single" w:sz="4" w:space="0" w:color="000000"/>
              <w:left w:val="single" w:sz="12" w:space="0" w:color="auto"/>
              <w:bottom w:val="single" w:sz="8" w:space="0" w:color="auto"/>
              <w:right w:val="single" w:sz="4" w:space="0" w:color="auto"/>
            </w:tcBorders>
            <w:vAlign w:val="center"/>
            <w:hideMark/>
          </w:tcPr>
          <w:p w14:paraId="012FC415" w14:textId="77777777" w:rsidR="008D06F2" w:rsidRPr="000A7FD1" w:rsidRDefault="008D06F2" w:rsidP="008D06F2">
            <w:pPr>
              <w:widowControl/>
              <w:adjustRightInd/>
              <w:spacing w:before="0" w:after="0"/>
              <w:textAlignment w:val="auto"/>
              <w:rPr>
                <w:rFonts w:cs="Arial"/>
                <w:color w:val="000000"/>
                <w:sz w:val="20"/>
                <w:szCs w:val="20"/>
              </w:rPr>
            </w:pPr>
          </w:p>
        </w:tc>
        <w:tc>
          <w:tcPr>
            <w:tcW w:w="2563" w:type="dxa"/>
            <w:vMerge w:val="restart"/>
            <w:tcBorders>
              <w:top w:val="single" w:sz="8" w:space="0" w:color="auto"/>
              <w:left w:val="single" w:sz="4" w:space="0" w:color="auto"/>
              <w:bottom w:val="single" w:sz="4" w:space="0" w:color="000000"/>
              <w:right w:val="single" w:sz="4" w:space="0" w:color="auto"/>
            </w:tcBorders>
            <w:shd w:val="clear" w:color="auto" w:fill="auto"/>
            <w:hideMark/>
          </w:tcPr>
          <w:p w14:paraId="0FC4DFC3" w14:textId="46C1080A" w:rsidR="00520277"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u w:val="single"/>
              </w:rPr>
              <w:t>Summarization</w:t>
            </w:r>
            <w:r w:rsidRPr="000A7FD1">
              <w:rPr>
                <w:rFonts w:cs="Arial"/>
                <w:color w:val="000000"/>
                <w:sz w:val="20"/>
                <w:szCs w:val="20"/>
              </w:rPr>
              <w:t>:</w:t>
            </w:r>
            <w:r w:rsidRPr="000A7FD1">
              <w:rPr>
                <w:rFonts w:cs="Arial"/>
                <w:color w:val="000000"/>
                <w:sz w:val="20"/>
                <w:szCs w:val="20"/>
              </w:rPr>
              <w:br/>
              <w:t>7. Transactions are summarized improperly, resulting in an understated total.</w:t>
            </w:r>
          </w:p>
          <w:p w14:paraId="4DA02773" w14:textId="77777777" w:rsidR="00520277" w:rsidRPr="000A7FD1" w:rsidRDefault="00520277" w:rsidP="008D06F2">
            <w:pPr>
              <w:widowControl/>
              <w:adjustRightInd/>
              <w:spacing w:before="0" w:after="0"/>
              <w:textAlignment w:val="auto"/>
              <w:rPr>
                <w:rFonts w:cs="Arial"/>
                <w:color w:val="000000"/>
                <w:sz w:val="20"/>
                <w:szCs w:val="20"/>
              </w:rPr>
            </w:pPr>
          </w:p>
          <w:p w14:paraId="20820B3C" w14:textId="77777777" w:rsidR="00520277" w:rsidRPr="000A7FD1" w:rsidRDefault="00520277" w:rsidP="008D06F2">
            <w:pPr>
              <w:widowControl/>
              <w:adjustRightInd/>
              <w:spacing w:before="0" w:after="0"/>
              <w:textAlignment w:val="auto"/>
              <w:rPr>
                <w:rFonts w:cs="Arial"/>
                <w:color w:val="000000"/>
                <w:sz w:val="20"/>
                <w:szCs w:val="20"/>
              </w:rPr>
            </w:pPr>
          </w:p>
        </w:tc>
        <w:tc>
          <w:tcPr>
            <w:tcW w:w="1572" w:type="dxa"/>
            <w:tcBorders>
              <w:top w:val="single" w:sz="8" w:space="0" w:color="auto"/>
              <w:left w:val="nil"/>
              <w:bottom w:val="single" w:sz="4" w:space="0" w:color="auto"/>
              <w:right w:val="single" w:sz="8" w:space="0" w:color="auto"/>
            </w:tcBorders>
            <w:shd w:val="clear" w:color="auto" w:fill="auto"/>
            <w:hideMark/>
          </w:tcPr>
          <w:p w14:paraId="37F5B9B7"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986" w:type="dxa"/>
            <w:tcBorders>
              <w:top w:val="single" w:sz="8" w:space="0" w:color="auto"/>
              <w:left w:val="nil"/>
              <w:bottom w:val="single" w:sz="4" w:space="0" w:color="auto"/>
              <w:right w:val="single" w:sz="4" w:space="0" w:color="auto"/>
            </w:tcBorders>
            <w:shd w:val="clear" w:color="auto" w:fill="auto"/>
            <w:hideMark/>
          </w:tcPr>
          <w:p w14:paraId="68E27A4E"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456" w:type="dxa"/>
            <w:tcBorders>
              <w:top w:val="single" w:sz="8" w:space="0" w:color="auto"/>
              <w:left w:val="nil"/>
              <w:bottom w:val="single" w:sz="4" w:space="0" w:color="auto"/>
              <w:right w:val="single" w:sz="4" w:space="0" w:color="auto"/>
            </w:tcBorders>
            <w:shd w:val="clear" w:color="auto" w:fill="auto"/>
            <w:hideMark/>
          </w:tcPr>
          <w:p w14:paraId="537AFC2B"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68" w:type="dxa"/>
            <w:tcBorders>
              <w:top w:val="single" w:sz="8" w:space="0" w:color="auto"/>
              <w:left w:val="nil"/>
              <w:bottom w:val="single" w:sz="4" w:space="0" w:color="auto"/>
              <w:right w:val="single" w:sz="12" w:space="0" w:color="auto"/>
            </w:tcBorders>
            <w:shd w:val="clear" w:color="auto" w:fill="auto"/>
            <w:hideMark/>
          </w:tcPr>
          <w:p w14:paraId="3028E4CC"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814" w:type="dxa"/>
            <w:tcBorders>
              <w:top w:val="single" w:sz="8" w:space="0" w:color="auto"/>
              <w:left w:val="single" w:sz="4" w:space="0" w:color="auto"/>
              <w:bottom w:val="single" w:sz="4" w:space="0" w:color="auto"/>
              <w:right w:val="single" w:sz="8" w:space="0" w:color="auto"/>
            </w:tcBorders>
            <w:shd w:val="clear" w:color="auto" w:fill="auto"/>
            <w:hideMark/>
          </w:tcPr>
          <w:p w14:paraId="2BDE4485"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93" w:type="dxa"/>
            <w:tcBorders>
              <w:top w:val="single" w:sz="8" w:space="0" w:color="auto"/>
              <w:left w:val="nil"/>
              <w:bottom w:val="single" w:sz="4" w:space="0" w:color="auto"/>
              <w:right w:val="nil"/>
            </w:tcBorders>
            <w:shd w:val="clear" w:color="auto" w:fill="auto"/>
            <w:hideMark/>
          </w:tcPr>
          <w:p w14:paraId="08F77710"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2077" w:type="dxa"/>
            <w:tcBorders>
              <w:top w:val="single" w:sz="8" w:space="0" w:color="auto"/>
              <w:left w:val="single" w:sz="12" w:space="0" w:color="auto"/>
              <w:bottom w:val="single" w:sz="4" w:space="0" w:color="auto"/>
              <w:right w:val="single" w:sz="4" w:space="0" w:color="auto"/>
            </w:tcBorders>
            <w:shd w:val="clear" w:color="auto" w:fill="auto"/>
            <w:hideMark/>
          </w:tcPr>
          <w:p w14:paraId="189F6500"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976" w:type="dxa"/>
            <w:tcBorders>
              <w:top w:val="single" w:sz="8" w:space="0" w:color="auto"/>
              <w:left w:val="nil"/>
              <w:bottom w:val="single" w:sz="4" w:space="0" w:color="auto"/>
              <w:right w:val="single" w:sz="12" w:space="0" w:color="auto"/>
            </w:tcBorders>
            <w:shd w:val="clear" w:color="auto" w:fill="auto"/>
            <w:hideMark/>
          </w:tcPr>
          <w:p w14:paraId="35F26FB7"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r>
      <w:tr w:rsidR="008D06F2" w:rsidRPr="000A7FD1" w14:paraId="15DD276D" w14:textId="77777777" w:rsidTr="003B3190">
        <w:trPr>
          <w:cantSplit/>
          <w:trHeight w:val="772"/>
        </w:trPr>
        <w:tc>
          <w:tcPr>
            <w:tcW w:w="1635" w:type="dxa"/>
            <w:vMerge/>
            <w:tcBorders>
              <w:top w:val="single" w:sz="4" w:space="0" w:color="000000"/>
              <w:left w:val="single" w:sz="12" w:space="0" w:color="auto"/>
              <w:bottom w:val="single" w:sz="8" w:space="0" w:color="auto"/>
              <w:right w:val="single" w:sz="4" w:space="0" w:color="auto"/>
            </w:tcBorders>
            <w:vAlign w:val="center"/>
            <w:hideMark/>
          </w:tcPr>
          <w:p w14:paraId="1B9B8E44" w14:textId="77777777" w:rsidR="008D06F2" w:rsidRPr="000A7FD1" w:rsidRDefault="008D06F2" w:rsidP="008D06F2">
            <w:pPr>
              <w:widowControl/>
              <w:adjustRightInd/>
              <w:spacing w:before="0" w:after="0"/>
              <w:textAlignment w:val="auto"/>
              <w:rPr>
                <w:rFonts w:cs="Arial"/>
                <w:color w:val="000000"/>
                <w:sz w:val="20"/>
                <w:szCs w:val="20"/>
              </w:rPr>
            </w:pPr>
          </w:p>
        </w:tc>
        <w:tc>
          <w:tcPr>
            <w:tcW w:w="2563" w:type="dxa"/>
            <w:vMerge/>
            <w:tcBorders>
              <w:top w:val="nil"/>
              <w:left w:val="single" w:sz="4" w:space="0" w:color="auto"/>
              <w:bottom w:val="single" w:sz="4" w:space="0" w:color="000000"/>
              <w:right w:val="single" w:sz="4" w:space="0" w:color="auto"/>
            </w:tcBorders>
            <w:vAlign w:val="center"/>
            <w:hideMark/>
          </w:tcPr>
          <w:p w14:paraId="39AD8066" w14:textId="77777777" w:rsidR="008D06F2" w:rsidRPr="000A7FD1" w:rsidRDefault="008D06F2" w:rsidP="008D06F2">
            <w:pPr>
              <w:widowControl/>
              <w:adjustRightInd/>
              <w:spacing w:before="0" w:after="0"/>
              <w:textAlignment w:val="auto"/>
              <w:rPr>
                <w:rFonts w:cs="Arial"/>
                <w:color w:val="000000"/>
                <w:sz w:val="20"/>
                <w:szCs w:val="20"/>
              </w:rPr>
            </w:pPr>
          </w:p>
        </w:tc>
        <w:tc>
          <w:tcPr>
            <w:tcW w:w="1572" w:type="dxa"/>
            <w:tcBorders>
              <w:top w:val="nil"/>
              <w:left w:val="nil"/>
              <w:bottom w:val="single" w:sz="4" w:space="0" w:color="auto"/>
              <w:right w:val="nil"/>
            </w:tcBorders>
            <w:shd w:val="clear" w:color="auto" w:fill="auto"/>
            <w:hideMark/>
          </w:tcPr>
          <w:p w14:paraId="50239DA6"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986" w:type="dxa"/>
            <w:tcBorders>
              <w:top w:val="nil"/>
              <w:left w:val="single" w:sz="8" w:space="0" w:color="auto"/>
              <w:bottom w:val="single" w:sz="4" w:space="0" w:color="auto"/>
              <w:right w:val="single" w:sz="4" w:space="0" w:color="auto"/>
            </w:tcBorders>
            <w:shd w:val="clear" w:color="auto" w:fill="auto"/>
            <w:hideMark/>
          </w:tcPr>
          <w:p w14:paraId="0163C5EC"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456" w:type="dxa"/>
            <w:tcBorders>
              <w:top w:val="nil"/>
              <w:left w:val="nil"/>
              <w:bottom w:val="single" w:sz="4" w:space="0" w:color="auto"/>
              <w:right w:val="single" w:sz="4" w:space="0" w:color="auto"/>
            </w:tcBorders>
            <w:shd w:val="clear" w:color="auto" w:fill="auto"/>
            <w:hideMark/>
          </w:tcPr>
          <w:p w14:paraId="6BAC8F53"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68" w:type="dxa"/>
            <w:tcBorders>
              <w:top w:val="nil"/>
              <w:left w:val="nil"/>
              <w:bottom w:val="single" w:sz="4" w:space="0" w:color="auto"/>
              <w:right w:val="single" w:sz="12" w:space="0" w:color="auto"/>
            </w:tcBorders>
            <w:shd w:val="clear" w:color="auto" w:fill="auto"/>
            <w:hideMark/>
          </w:tcPr>
          <w:p w14:paraId="560363E1"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814" w:type="dxa"/>
            <w:tcBorders>
              <w:top w:val="nil"/>
              <w:left w:val="nil"/>
              <w:bottom w:val="single" w:sz="4" w:space="0" w:color="auto"/>
              <w:right w:val="nil"/>
            </w:tcBorders>
            <w:shd w:val="clear" w:color="auto" w:fill="auto"/>
            <w:hideMark/>
          </w:tcPr>
          <w:p w14:paraId="5B1B965D"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93" w:type="dxa"/>
            <w:tcBorders>
              <w:top w:val="nil"/>
              <w:left w:val="single" w:sz="8" w:space="0" w:color="auto"/>
              <w:bottom w:val="single" w:sz="4" w:space="0" w:color="auto"/>
              <w:right w:val="single" w:sz="12" w:space="0" w:color="auto"/>
            </w:tcBorders>
            <w:shd w:val="clear" w:color="auto" w:fill="auto"/>
            <w:hideMark/>
          </w:tcPr>
          <w:p w14:paraId="4C644FA4"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2077" w:type="dxa"/>
            <w:tcBorders>
              <w:top w:val="nil"/>
              <w:left w:val="nil"/>
              <w:bottom w:val="single" w:sz="4" w:space="0" w:color="auto"/>
              <w:right w:val="single" w:sz="4" w:space="0" w:color="auto"/>
            </w:tcBorders>
            <w:shd w:val="clear" w:color="auto" w:fill="auto"/>
            <w:hideMark/>
          </w:tcPr>
          <w:p w14:paraId="3F5028F6"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976" w:type="dxa"/>
            <w:tcBorders>
              <w:top w:val="nil"/>
              <w:left w:val="nil"/>
              <w:bottom w:val="single" w:sz="4" w:space="0" w:color="auto"/>
              <w:right w:val="single" w:sz="12" w:space="0" w:color="auto"/>
            </w:tcBorders>
            <w:shd w:val="clear" w:color="auto" w:fill="auto"/>
            <w:hideMark/>
          </w:tcPr>
          <w:p w14:paraId="01402BCE"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r>
      <w:tr w:rsidR="008D06F2" w:rsidRPr="000A7FD1" w14:paraId="45559395" w14:textId="77777777" w:rsidTr="003B3190">
        <w:trPr>
          <w:cantSplit/>
          <w:trHeight w:val="255"/>
        </w:trPr>
        <w:tc>
          <w:tcPr>
            <w:tcW w:w="1635" w:type="dxa"/>
            <w:vMerge/>
            <w:tcBorders>
              <w:top w:val="single" w:sz="4" w:space="0" w:color="000000"/>
              <w:left w:val="single" w:sz="12" w:space="0" w:color="auto"/>
              <w:bottom w:val="single" w:sz="8" w:space="0" w:color="auto"/>
              <w:right w:val="single" w:sz="4" w:space="0" w:color="auto"/>
            </w:tcBorders>
            <w:vAlign w:val="center"/>
            <w:hideMark/>
          </w:tcPr>
          <w:p w14:paraId="603E2CCE" w14:textId="77777777" w:rsidR="008D06F2" w:rsidRPr="000A7FD1" w:rsidRDefault="008D06F2" w:rsidP="008D06F2">
            <w:pPr>
              <w:widowControl/>
              <w:adjustRightInd/>
              <w:spacing w:before="0" w:after="0"/>
              <w:textAlignment w:val="auto"/>
              <w:rPr>
                <w:rFonts w:cs="Arial"/>
                <w:color w:val="000000"/>
                <w:sz w:val="20"/>
                <w:szCs w:val="20"/>
              </w:rPr>
            </w:pPr>
          </w:p>
        </w:tc>
        <w:tc>
          <w:tcPr>
            <w:tcW w:w="16005" w:type="dxa"/>
            <w:gridSpan w:val="9"/>
            <w:tcBorders>
              <w:top w:val="single" w:sz="4" w:space="0" w:color="auto"/>
              <w:left w:val="nil"/>
              <w:bottom w:val="single" w:sz="4" w:space="0" w:color="auto"/>
              <w:right w:val="single" w:sz="12" w:space="0" w:color="auto"/>
            </w:tcBorders>
            <w:shd w:val="clear" w:color="000000" w:fill="000000"/>
            <w:hideMark/>
          </w:tcPr>
          <w:p w14:paraId="4C49C69F" w14:textId="77777777" w:rsidR="008D06F2" w:rsidRPr="000A7FD1" w:rsidRDefault="008D06F2" w:rsidP="008D06F2">
            <w:pPr>
              <w:widowControl/>
              <w:adjustRightInd/>
              <w:spacing w:before="0" w:after="0"/>
              <w:textAlignment w:val="auto"/>
              <w:rPr>
                <w:rFonts w:cs="Arial"/>
                <w:b/>
                <w:bCs/>
                <w:color w:val="FFFFFF"/>
                <w:sz w:val="20"/>
                <w:szCs w:val="20"/>
              </w:rPr>
            </w:pPr>
            <w:r w:rsidRPr="000A7FD1">
              <w:rPr>
                <w:rFonts w:cs="Arial"/>
                <w:b/>
                <w:bCs/>
                <w:color w:val="FFFFFF"/>
                <w:sz w:val="20"/>
                <w:szCs w:val="20"/>
              </w:rPr>
              <w:t>Line item/account related</w:t>
            </w:r>
          </w:p>
        </w:tc>
      </w:tr>
      <w:tr w:rsidR="008D06F2" w:rsidRPr="000A7FD1" w14:paraId="3DF499EC" w14:textId="77777777" w:rsidTr="003B3190">
        <w:trPr>
          <w:cantSplit/>
          <w:trHeight w:val="3670"/>
        </w:trPr>
        <w:tc>
          <w:tcPr>
            <w:tcW w:w="1635" w:type="dxa"/>
            <w:vMerge/>
            <w:tcBorders>
              <w:top w:val="single" w:sz="4" w:space="0" w:color="000000"/>
              <w:left w:val="single" w:sz="12" w:space="0" w:color="auto"/>
              <w:bottom w:val="single" w:sz="8" w:space="0" w:color="auto"/>
              <w:right w:val="single" w:sz="4" w:space="0" w:color="auto"/>
            </w:tcBorders>
            <w:vAlign w:val="center"/>
            <w:hideMark/>
          </w:tcPr>
          <w:p w14:paraId="7F0BA274" w14:textId="77777777" w:rsidR="008D06F2" w:rsidRPr="000A7FD1" w:rsidRDefault="008D06F2" w:rsidP="008D06F2">
            <w:pPr>
              <w:widowControl/>
              <w:adjustRightInd/>
              <w:spacing w:before="0" w:after="0"/>
              <w:textAlignment w:val="auto"/>
              <w:rPr>
                <w:rFonts w:cs="Arial"/>
                <w:color w:val="000000"/>
                <w:sz w:val="20"/>
                <w:szCs w:val="20"/>
              </w:rPr>
            </w:pPr>
          </w:p>
        </w:tc>
        <w:tc>
          <w:tcPr>
            <w:tcW w:w="2563" w:type="dxa"/>
            <w:tcBorders>
              <w:top w:val="nil"/>
              <w:left w:val="nil"/>
              <w:bottom w:val="single" w:sz="4" w:space="0" w:color="auto"/>
              <w:right w:val="nil"/>
            </w:tcBorders>
            <w:shd w:val="clear" w:color="auto" w:fill="auto"/>
            <w:hideMark/>
          </w:tcPr>
          <w:p w14:paraId="3751C132" w14:textId="4EB2A56B" w:rsidR="00520277"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u w:val="single"/>
              </w:rPr>
              <w:t>Account completeness</w:t>
            </w:r>
            <w:r w:rsidRPr="000A7FD1">
              <w:rPr>
                <w:rFonts w:cs="Arial"/>
                <w:color w:val="000000"/>
                <w:sz w:val="20"/>
                <w:szCs w:val="20"/>
              </w:rPr>
              <w:t>:</w:t>
            </w:r>
            <w:r w:rsidRPr="000A7FD1">
              <w:rPr>
                <w:rFonts w:cs="Arial"/>
                <w:color w:val="000000"/>
                <w:sz w:val="20"/>
                <w:szCs w:val="20"/>
              </w:rPr>
              <w:br/>
              <w:t>8. Assets, liabilities, net position, and budgetary balances of the entity exist but are not recorded in the proper period or accounts or are omitted from the financial statements. Projections in the sustainability statements do not include all estimated future revenues and expenditures at present value that should have been included.</w:t>
            </w:r>
          </w:p>
          <w:p w14:paraId="717E68E1" w14:textId="77777777" w:rsidR="00C017A6" w:rsidRPr="000A7FD1" w:rsidRDefault="00C017A6" w:rsidP="008D06F2">
            <w:pPr>
              <w:widowControl/>
              <w:adjustRightInd/>
              <w:spacing w:before="0" w:after="0"/>
              <w:textAlignment w:val="auto"/>
              <w:rPr>
                <w:rFonts w:cs="Arial"/>
                <w:color w:val="000000"/>
                <w:sz w:val="20"/>
                <w:szCs w:val="20"/>
              </w:rPr>
            </w:pPr>
          </w:p>
          <w:p w14:paraId="7032FF8A" w14:textId="77777777" w:rsidR="00C017A6" w:rsidRPr="000A7FD1" w:rsidRDefault="00C017A6" w:rsidP="008D06F2">
            <w:pPr>
              <w:widowControl/>
              <w:adjustRightInd/>
              <w:spacing w:before="0" w:after="0"/>
              <w:textAlignment w:val="auto"/>
              <w:rPr>
                <w:rFonts w:cs="Arial"/>
                <w:color w:val="000000"/>
                <w:sz w:val="20"/>
                <w:szCs w:val="20"/>
              </w:rPr>
            </w:pPr>
          </w:p>
          <w:p w14:paraId="75C4BE92" w14:textId="77777777" w:rsidR="00C017A6" w:rsidRPr="000A7FD1" w:rsidRDefault="00C017A6" w:rsidP="008D06F2">
            <w:pPr>
              <w:widowControl/>
              <w:adjustRightInd/>
              <w:spacing w:before="0" w:after="0"/>
              <w:textAlignment w:val="auto"/>
              <w:rPr>
                <w:rFonts w:cs="Arial"/>
                <w:color w:val="000000"/>
                <w:sz w:val="20"/>
                <w:szCs w:val="20"/>
              </w:rPr>
            </w:pPr>
          </w:p>
          <w:p w14:paraId="1AC22B7C" w14:textId="77777777" w:rsidR="00C017A6" w:rsidRPr="000A7FD1" w:rsidRDefault="00C017A6" w:rsidP="008D06F2">
            <w:pPr>
              <w:widowControl/>
              <w:adjustRightInd/>
              <w:spacing w:before="0" w:after="0"/>
              <w:textAlignment w:val="auto"/>
              <w:rPr>
                <w:rFonts w:cs="Arial"/>
                <w:color w:val="000000"/>
                <w:sz w:val="20"/>
                <w:szCs w:val="20"/>
              </w:rPr>
            </w:pPr>
          </w:p>
          <w:p w14:paraId="0CCDE0EE" w14:textId="77777777" w:rsidR="00C017A6" w:rsidRPr="000A7FD1" w:rsidRDefault="00C017A6" w:rsidP="008D06F2">
            <w:pPr>
              <w:widowControl/>
              <w:adjustRightInd/>
              <w:spacing w:before="0" w:after="0"/>
              <w:textAlignment w:val="auto"/>
              <w:rPr>
                <w:rFonts w:cs="Arial"/>
                <w:color w:val="000000"/>
                <w:sz w:val="20"/>
                <w:szCs w:val="20"/>
              </w:rPr>
            </w:pPr>
          </w:p>
          <w:p w14:paraId="57923AF8" w14:textId="77777777" w:rsidR="00C017A6" w:rsidRPr="000A7FD1" w:rsidRDefault="00C017A6" w:rsidP="008D06F2">
            <w:pPr>
              <w:widowControl/>
              <w:adjustRightInd/>
              <w:spacing w:before="0" w:after="0"/>
              <w:textAlignment w:val="auto"/>
              <w:rPr>
                <w:rFonts w:cs="Arial"/>
                <w:color w:val="000000"/>
                <w:sz w:val="20"/>
                <w:szCs w:val="20"/>
              </w:rPr>
            </w:pPr>
          </w:p>
          <w:p w14:paraId="6549E52D" w14:textId="77777777" w:rsidR="00C017A6" w:rsidRPr="000A7FD1" w:rsidRDefault="00C017A6" w:rsidP="008D06F2">
            <w:pPr>
              <w:widowControl/>
              <w:adjustRightInd/>
              <w:spacing w:before="0" w:after="0"/>
              <w:textAlignment w:val="auto"/>
              <w:rPr>
                <w:rFonts w:cs="Arial"/>
                <w:color w:val="000000"/>
                <w:sz w:val="20"/>
                <w:szCs w:val="20"/>
              </w:rPr>
            </w:pPr>
          </w:p>
          <w:p w14:paraId="4C0E4EA2" w14:textId="77777777" w:rsidR="00C017A6" w:rsidRPr="000A7FD1" w:rsidRDefault="00C017A6" w:rsidP="008D06F2">
            <w:pPr>
              <w:widowControl/>
              <w:adjustRightInd/>
              <w:spacing w:before="0" w:after="0"/>
              <w:textAlignment w:val="auto"/>
              <w:rPr>
                <w:rFonts w:cs="Arial"/>
                <w:color w:val="000000"/>
                <w:sz w:val="20"/>
                <w:szCs w:val="20"/>
              </w:rPr>
            </w:pPr>
          </w:p>
          <w:p w14:paraId="7235617B" w14:textId="77777777" w:rsidR="00C017A6" w:rsidRPr="000A7FD1" w:rsidRDefault="00C017A6" w:rsidP="008D06F2">
            <w:pPr>
              <w:widowControl/>
              <w:adjustRightInd/>
              <w:spacing w:before="0" w:after="0"/>
              <w:textAlignment w:val="auto"/>
              <w:rPr>
                <w:rFonts w:cs="Arial"/>
                <w:color w:val="000000"/>
                <w:sz w:val="20"/>
                <w:szCs w:val="20"/>
              </w:rPr>
            </w:pPr>
          </w:p>
          <w:p w14:paraId="2887F9E9" w14:textId="77777777" w:rsidR="00C017A6" w:rsidRPr="000A7FD1" w:rsidRDefault="00C017A6" w:rsidP="008D06F2">
            <w:pPr>
              <w:widowControl/>
              <w:adjustRightInd/>
              <w:spacing w:before="0" w:after="0"/>
              <w:textAlignment w:val="auto"/>
              <w:rPr>
                <w:rFonts w:cs="Arial"/>
                <w:color w:val="000000"/>
                <w:sz w:val="20"/>
                <w:szCs w:val="20"/>
              </w:rPr>
            </w:pPr>
          </w:p>
          <w:p w14:paraId="718623CB" w14:textId="77777777" w:rsidR="00C017A6" w:rsidRPr="000A7FD1" w:rsidRDefault="00C017A6" w:rsidP="008D06F2">
            <w:pPr>
              <w:widowControl/>
              <w:adjustRightInd/>
              <w:spacing w:before="0" w:after="0"/>
              <w:textAlignment w:val="auto"/>
              <w:rPr>
                <w:rFonts w:cs="Arial"/>
                <w:color w:val="000000"/>
                <w:sz w:val="20"/>
                <w:szCs w:val="20"/>
              </w:rPr>
            </w:pPr>
          </w:p>
          <w:p w14:paraId="00D4749F" w14:textId="77777777" w:rsidR="00C017A6" w:rsidRPr="000A7FD1" w:rsidRDefault="00C017A6" w:rsidP="008D06F2">
            <w:pPr>
              <w:widowControl/>
              <w:adjustRightInd/>
              <w:spacing w:before="0" w:after="0"/>
              <w:textAlignment w:val="auto"/>
              <w:rPr>
                <w:rFonts w:cs="Arial"/>
                <w:color w:val="000000"/>
                <w:sz w:val="20"/>
                <w:szCs w:val="20"/>
              </w:rPr>
            </w:pPr>
          </w:p>
          <w:p w14:paraId="6D0F34E7" w14:textId="77777777" w:rsidR="00C017A6" w:rsidRPr="000A7FD1" w:rsidRDefault="00C017A6" w:rsidP="008D06F2">
            <w:pPr>
              <w:widowControl/>
              <w:adjustRightInd/>
              <w:spacing w:before="0" w:after="0"/>
              <w:textAlignment w:val="auto"/>
              <w:rPr>
                <w:rFonts w:cs="Arial"/>
                <w:color w:val="000000"/>
                <w:sz w:val="20"/>
                <w:szCs w:val="20"/>
              </w:rPr>
            </w:pPr>
          </w:p>
          <w:p w14:paraId="32BE35AA" w14:textId="77777777" w:rsidR="00C017A6" w:rsidRPr="000A7FD1" w:rsidRDefault="00C017A6" w:rsidP="008D06F2">
            <w:pPr>
              <w:widowControl/>
              <w:adjustRightInd/>
              <w:spacing w:before="0" w:after="0"/>
              <w:textAlignment w:val="auto"/>
              <w:rPr>
                <w:rFonts w:cs="Arial"/>
                <w:color w:val="000000"/>
                <w:sz w:val="20"/>
                <w:szCs w:val="20"/>
              </w:rPr>
            </w:pPr>
          </w:p>
          <w:p w14:paraId="094A8962" w14:textId="77777777" w:rsidR="003F690E" w:rsidRPr="000A7FD1" w:rsidRDefault="003F690E" w:rsidP="008D06F2">
            <w:pPr>
              <w:widowControl/>
              <w:adjustRightInd/>
              <w:spacing w:before="0" w:after="0"/>
              <w:textAlignment w:val="auto"/>
              <w:rPr>
                <w:rFonts w:cs="Arial"/>
                <w:color w:val="000000"/>
                <w:sz w:val="20"/>
                <w:szCs w:val="20"/>
              </w:rPr>
            </w:pPr>
          </w:p>
          <w:p w14:paraId="412E4D86" w14:textId="77777777" w:rsidR="00520277" w:rsidRPr="000A7FD1" w:rsidRDefault="00520277" w:rsidP="008D06F2">
            <w:pPr>
              <w:widowControl/>
              <w:adjustRightInd/>
              <w:spacing w:before="0" w:after="0"/>
              <w:textAlignment w:val="auto"/>
              <w:rPr>
                <w:rFonts w:cs="Arial"/>
                <w:color w:val="000000"/>
                <w:sz w:val="20"/>
                <w:szCs w:val="20"/>
              </w:rPr>
            </w:pPr>
          </w:p>
          <w:p w14:paraId="7C64287C" w14:textId="77777777" w:rsidR="00520277" w:rsidRPr="000A7FD1" w:rsidRDefault="00520277" w:rsidP="008D06F2">
            <w:pPr>
              <w:widowControl/>
              <w:adjustRightInd/>
              <w:spacing w:before="0" w:after="0"/>
              <w:textAlignment w:val="auto"/>
              <w:rPr>
                <w:rFonts w:cs="Arial"/>
                <w:color w:val="000000"/>
                <w:sz w:val="20"/>
                <w:szCs w:val="20"/>
              </w:rPr>
            </w:pPr>
          </w:p>
        </w:tc>
        <w:tc>
          <w:tcPr>
            <w:tcW w:w="1572" w:type="dxa"/>
            <w:tcBorders>
              <w:top w:val="nil"/>
              <w:left w:val="single" w:sz="4" w:space="0" w:color="auto"/>
              <w:bottom w:val="single" w:sz="4" w:space="0" w:color="auto"/>
              <w:right w:val="single" w:sz="8" w:space="0" w:color="auto"/>
            </w:tcBorders>
            <w:shd w:val="clear" w:color="auto" w:fill="auto"/>
            <w:hideMark/>
          </w:tcPr>
          <w:p w14:paraId="29721010"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986" w:type="dxa"/>
            <w:tcBorders>
              <w:top w:val="nil"/>
              <w:left w:val="nil"/>
              <w:bottom w:val="single" w:sz="4" w:space="0" w:color="auto"/>
              <w:right w:val="single" w:sz="4" w:space="0" w:color="auto"/>
            </w:tcBorders>
            <w:shd w:val="clear" w:color="auto" w:fill="auto"/>
            <w:hideMark/>
          </w:tcPr>
          <w:p w14:paraId="17DF08C3"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456" w:type="dxa"/>
            <w:tcBorders>
              <w:top w:val="nil"/>
              <w:left w:val="nil"/>
              <w:bottom w:val="single" w:sz="4" w:space="0" w:color="auto"/>
              <w:right w:val="single" w:sz="4" w:space="0" w:color="auto"/>
            </w:tcBorders>
            <w:shd w:val="clear" w:color="auto" w:fill="auto"/>
            <w:hideMark/>
          </w:tcPr>
          <w:p w14:paraId="625FD73C"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68" w:type="dxa"/>
            <w:tcBorders>
              <w:top w:val="nil"/>
              <w:left w:val="nil"/>
              <w:bottom w:val="single" w:sz="4" w:space="0" w:color="auto"/>
              <w:right w:val="single" w:sz="12" w:space="0" w:color="auto"/>
            </w:tcBorders>
            <w:shd w:val="clear" w:color="auto" w:fill="auto"/>
            <w:hideMark/>
          </w:tcPr>
          <w:p w14:paraId="11D1140F"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814" w:type="dxa"/>
            <w:tcBorders>
              <w:top w:val="nil"/>
              <w:left w:val="single" w:sz="4" w:space="0" w:color="auto"/>
              <w:bottom w:val="single" w:sz="4" w:space="0" w:color="auto"/>
              <w:right w:val="single" w:sz="8" w:space="0" w:color="auto"/>
            </w:tcBorders>
            <w:shd w:val="clear" w:color="auto" w:fill="auto"/>
            <w:hideMark/>
          </w:tcPr>
          <w:p w14:paraId="1CFB2F36"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93" w:type="dxa"/>
            <w:tcBorders>
              <w:top w:val="nil"/>
              <w:left w:val="nil"/>
              <w:bottom w:val="single" w:sz="4" w:space="0" w:color="auto"/>
              <w:right w:val="nil"/>
            </w:tcBorders>
            <w:shd w:val="clear" w:color="auto" w:fill="auto"/>
            <w:hideMark/>
          </w:tcPr>
          <w:p w14:paraId="6B4EE116"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2077" w:type="dxa"/>
            <w:tcBorders>
              <w:top w:val="nil"/>
              <w:left w:val="single" w:sz="12" w:space="0" w:color="auto"/>
              <w:bottom w:val="single" w:sz="4" w:space="0" w:color="auto"/>
              <w:right w:val="single" w:sz="4" w:space="0" w:color="auto"/>
            </w:tcBorders>
            <w:shd w:val="clear" w:color="auto" w:fill="auto"/>
            <w:hideMark/>
          </w:tcPr>
          <w:p w14:paraId="4C1E0B38"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976" w:type="dxa"/>
            <w:tcBorders>
              <w:top w:val="nil"/>
              <w:left w:val="nil"/>
              <w:bottom w:val="single" w:sz="4" w:space="0" w:color="auto"/>
              <w:right w:val="single" w:sz="12" w:space="0" w:color="auto"/>
            </w:tcBorders>
            <w:shd w:val="clear" w:color="auto" w:fill="auto"/>
            <w:hideMark/>
          </w:tcPr>
          <w:p w14:paraId="37A1317F"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r>
      <w:tr w:rsidR="008D06F2" w:rsidRPr="000A7FD1" w14:paraId="05F1ED82" w14:textId="77777777" w:rsidTr="003B3190">
        <w:trPr>
          <w:cantSplit/>
          <w:trHeight w:val="255"/>
        </w:trPr>
        <w:tc>
          <w:tcPr>
            <w:tcW w:w="1635" w:type="dxa"/>
            <w:vMerge w:val="restart"/>
            <w:tcBorders>
              <w:top w:val="single" w:sz="8" w:space="0" w:color="auto"/>
              <w:left w:val="single" w:sz="12" w:space="0" w:color="auto"/>
              <w:bottom w:val="single" w:sz="8" w:space="0" w:color="auto"/>
              <w:right w:val="single" w:sz="4" w:space="0" w:color="auto"/>
            </w:tcBorders>
            <w:shd w:val="clear" w:color="auto" w:fill="auto"/>
            <w:hideMark/>
          </w:tcPr>
          <w:p w14:paraId="6BC1C2D5"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lastRenderedPageBreak/>
              <w:t>Accuracy, Valuation, and Allocation</w:t>
            </w:r>
          </w:p>
        </w:tc>
        <w:tc>
          <w:tcPr>
            <w:tcW w:w="16005" w:type="dxa"/>
            <w:gridSpan w:val="9"/>
            <w:tcBorders>
              <w:top w:val="single" w:sz="4" w:space="0" w:color="auto"/>
              <w:left w:val="nil"/>
              <w:bottom w:val="single" w:sz="4" w:space="0" w:color="auto"/>
              <w:right w:val="single" w:sz="12" w:space="0" w:color="auto"/>
            </w:tcBorders>
            <w:shd w:val="clear" w:color="000000" w:fill="000000"/>
            <w:hideMark/>
          </w:tcPr>
          <w:p w14:paraId="035C45E4" w14:textId="77777777" w:rsidR="008D06F2" w:rsidRPr="000A7FD1" w:rsidRDefault="008D06F2" w:rsidP="008D06F2">
            <w:pPr>
              <w:widowControl/>
              <w:adjustRightInd/>
              <w:spacing w:before="0" w:after="0"/>
              <w:textAlignment w:val="auto"/>
              <w:rPr>
                <w:rFonts w:cs="Arial"/>
                <w:b/>
                <w:bCs/>
                <w:color w:val="FFFFFF"/>
                <w:sz w:val="20"/>
                <w:szCs w:val="20"/>
              </w:rPr>
            </w:pPr>
            <w:r w:rsidRPr="000A7FD1">
              <w:rPr>
                <w:rFonts w:cs="Arial"/>
                <w:b/>
                <w:bCs/>
                <w:color w:val="FFFFFF"/>
                <w:sz w:val="20"/>
                <w:szCs w:val="20"/>
              </w:rPr>
              <w:t>Transaction related</w:t>
            </w:r>
          </w:p>
        </w:tc>
      </w:tr>
      <w:tr w:rsidR="008D06F2" w:rsidRPr="000A7FD1" w14:paraId="74B6B415" w14:textId="77777777" w:rsidTr="00C017A6">
        <w:trPr>
          <w:cantSplit/>
          <w:trHeight w:val="853"/>
        </w:trPr>
        <w:tc>
          <w:tcPr>
            <w:tcW w:w="1635" w:type="dxa"/>
            <w:vMerge/>
            <w:tcBorders>
              <w:top w:val="single" w:sz="4" w:space="0" w:color="000000"/>
              <w:left w:val="single" w:sz="12" w:space="0" w:color="auto"/>
              <w:bottom w:val="single" w:sz="8" w:space="0" w:color="auto"/>
              <w:right w:val="single" w:sz="4" w:space="0" w:color="auto"/>
            </w:tcBorders>
            <w:vAlign w:val="center"/>
            <w:hideMark/>
          </w:tcPr>
          <w:p w14:paraId="2D31581D" w14:textId="77777777" w:rsidR="008D06F2" w:rsidRPr="000A7FD1" w:rsidRDefault="008D06F2" w:rsidP="008D06F2">
            <w:pPr>
              <w:widowControl/>
              <w:adjustRightInd/>
              <w:spacing w:before="0" w:after="0"/>
              <w:textAlignment w:val="auto"/>
              <w:rPr>
                <w:rFonts w:cs="Arial"/>
                <w:color w:val="000000"/>
                <w:sz w:val="20"/>
                <w:szCs w:val="20"/>
              </w:rPr>
            </w:pPr>
          </w:p>
        </w:tc>
        <w:tc>
          <w:tcPr>
            <w:tcW w:w="2563" w:type="dxa"/>
            <w:vMerge w:val="restart"/>
            <w:tcBorders>
              <w:top w:val="nil"/>
              <w:left w:val="single" w:sz="4" w:space="0" w:color="auto"/>
              <w:bottom w:val="single" w:sz="4" w:space="0" w:color="000000"/>
              <w:right w:val="single" w:sz="4" w:space="0" w:color="auto"/>
            </w:tcBorders>
            <w:shd w:val="clear" w:color="auto" w:fill="auto"/>
            <w:hideMark/>
          </w:tcPr>
          <w:p w14:paraId="590E19BD" w14:textId="2759BD38" w:rsidR="00520277" w:rsidRPr="000A7FD1" w:rsidRDefault="008D06F2" w:rsidP="00C017A6">
            <w:pPr>
              <w:widowControl/>
              <w:adjustRightInd/>
              <w:spacing w:before="0" w:after="0"/>
              <w:textAlignment w:val="auto"/>
              <w:rPr>
                <w:rFonts w:cs="Arial"/>
                <w:sz w:val="20"/>
                <w:szCs w:val="20"/>
              </w:rPr>
            </w:pPr>
            <w:r w:rsidRPr="000A7FD1">
              <w:rPr>
                <w:rFonts w:cs="Arial"/>
                <w:sz w:val="20"/>
                <w:szCs w:val="20"/>
                <w:u w:val="single"/>
              </w:rPr>
              <w:t>Accuracy:</w:t>
            </w:r>
            <w:r w:rsidRPr="000A7FD1">
              <w:rPr>
                <w:rFonts w:cs="Arial"/>
                <w:sz w:val="20"/>
                <w:szCs w:val="20"/>
              </w:rPr>
              <w:br/>
              <w:t xml:space="preserve">9. Amounts and other data relating to recorded transactions or events have not been appropriately recorded. </w:t>
            </w:r>
          </w:p>
        </w:tc>
        <w:tc>
          <w:tcPr>
            <w:tcW w:w="1572" w:type="dxa"/>
            <w:tcBorders>
              <w:top w:val="nil"/>
              <w:left w:val="nil"/>
              <w:bottom w:val="single" w:sz="4" w:space="0" w:color="auto"/>
              <w:right w:val="single" w:sz="8" w:space="0" w:color="auto"/>
            </w:tcBorders>
            <w:shd w:val="clear" w:color="auto" w:fill="auto"/>
            <w:hideMark/>
          </w:tcPr>
          <w:p w14:paraId="0CFE5343" w14:textId="77777777" w:rsidR="008D06F2" w:rsidRPr="000A7FD1" w:rsidRDefault="008D06F2" w:rsidP="008D06F2">
            <w:pPr>
              <w:widowControl/>
              <w:adjustRightInd/>
              <w:spacing w:before="0" w:after="0"/>
              <w:textAlignment w:val="auto"/>
              <w:rPr>
                <w:rFonts w:cs="Arial"/>
                <w:sz w:val="20"/>
                <w:szCs w:val="20"/>
              </w:rPr>
            </w:pPr>
            <w:r w:rsidRPr="000A7FD1">
              <w:rPr>
                <w:rFonts w:cs="Arial"/>
                <w:sz w:val="20"/>
                <w:szCs w:val="20"/>
              </w:rPr>
              <w:t> </w:t>
            </w:r>
          </w:p>
        </w:tc>
        <w:tc>
          <w:tcPr>
            <w:tcW w:w="1986" w:type="dxa"/>
            <w:tcBorders>
              <w:top w:val="nil"/>
              <w:left w:val="nil"/>
              <w:bottom w:val="single" w:sz="4" w:space="0" w:color="auto"/>
              <w:right w:val="single" w:sz="4" w:space="0" w:color="auto"/>
            </w:tcBorders>
            <w:shd w:val="clear" w:color="auto" w:fill="auto"/>
            <w:hideMark/>
          </w:tcPr>
          <w:p w14:paraId="13CCDE86"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456" w:type="dxa"/>
            <w:tcBorders>
              <w:top w:val="nil"/>
              <w:left w:val="nil"/>
              <w:bottom w:val="single" w:sz="4" w:space="0" w:color="auto"/>
              <w:right w:val="single" w:sz="4" w:space="0" w:color="auto"/>
            </w:tcBorders>
            <w:shd w:val="clear" w:color="auto" w:fill="auto"/>
            <w:hideMark/>
          </w:tcPr>
          <w:p w14:paraId="35818276"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68" w:type="dxa"/>
            <w:tcBorders>
              <w:top w:val="nil"/>
              <w:left w:val="nil"/>
              <w:bottom w:val="single" w:sz="4" w:space="0" w:color="auto"/>
              <w:right w:val="single" w:sz="12" w:space="0" w:color="auto"/>
            </w:tcBorders>
            <w:shd w:val="clear" w:color="auto" w:fill="auto"/>
            <w:hideMark/>
          </w:tcPr>
          <w:p w14:paraId="4476C328"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814" w:type="dxa"/>
            <w:tcBorders>
              <w:top w:val="nil"/>
              <w:left w:val="single" w:sz="12" w:space="0" w:color="auto"/>
              <w:bottom w:val="single" w:sz="4" w:space="0" w:color="auto"/>
              <w:right w:val="single" w:sz="8" w:space="0" w:color="auto"/>
            </w:tcBorders>
            <w:shd w:val="clear" w:color="auto" w:fill="auto"/>
            <w:hideMark/>
          </w:tcPr>
          <w:p w14:paraId="1B29AAA7"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93" w:type="dxa"/>
            <w:tcBorders>
              <w:top w:val="nil"/>
              <w:left w:val="nil"/>
              <w:bottom w:val="single" w:sz="4" w:space="0" w:color="auto"/>
              <w:right w:val="nil"/>
            </w:tcBorders>
            <w:shd w:val="clear" w:color="auto" w:fill="auto"/>
            <w:hideMark/>
          </w:tcPr>
          <w:p w14:paraId="28848955"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2077" w:type="dxa"/>
            <w:tcBorders>
              <w:top w:val="nil"/>
              <w:left w:val="single" w:sz="12" w:space="0" w:color="auto"/>
              <w:bottom w:val="single" w:sz="4" w:space="0" w:color="auto"/>
              <w:right w:val="single" w:sz="4" w:space="0" w:color="auto"/>
            </w:tcBorders>
            <w:shd w:val="clear" w:color="auto" w:fill="auto"/>
            <w:hideMark/>
          </w:tcPr>
          <w:p w14:paraId="7F955259"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976" w:type="dxa"/>
            <w:tcBorders>
              <w:top w:val="nil"/>
              <w:left w:val="nil"/>
              <w:bottom w:val="single" w:sz="4" w:space="0" w:color="auto"/>
              <w:right w:val="single" w:sz="12" w:space="0" w:color="auto"/>
            </w:tcBorders>
            <w:shd w:val="clear" w:color="auto" w:fill="auto"/>
            <w:hideMark/>
          </w:tcPr>
          <w:p w14:paraId="1E8523AF"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r>
      <w:tr w:rsidR="008D06F2" w:rsidRPr="000A7FD1" w14:paraId="68A6CA87" w14:textId="77777777" w:rsidTr="003B3190">
        <w:trPr>
          <w:cantSplit/>
          <w:trHeight w:val="710"/>
        </w:trPr>
        <w:tc>
          <w:tcPr>
            <w:tcW w:w="1635" w:type="dxa"/>
            <w:vMerge/>
            <w:tcBorders>
              <w:top w:val="single" w:sz="4" w:space="0" w:color="000000"/>
              <w:left w:val="single" w:sz="12" w:space="0" w:color="auto"/>
              <w:bottom w:val="single" w:sz="8" w:space="0" w:color="auto"/>
              <w:right w:val="single" w:sz="4" w:space="0" w:color="auto"/>
            </w:tcBorders>
            <w:vAlign w:val="center"/>
            <w:hideMark/>
          </w:tcPr>
          <w:p w14:paraId="20277CB9" w14:textId="77777777" w:rsidR="008D06F2" w:rsidRPr="000A7FD1" w:rsidRDefault="008D06F2" w:rsidP="008D06F2">
            <w:pPr>
              <w:widowControl/>
              <w:adjustRightInd/>
              <w:spacing w:before="0" w:after="0"/>
              <w:textAlignment w:val="auto"/>
              <w:rPr>
                <w:rFonts w:cs="Arial"/>
                <w:color w:val="000000"/>
                <w:sz w:val="20"/>
                <w:szCs w:val="20"/>
              </w:rPr>
            </w:pPr>
          </w:p>
        </w:tc>
        <w:tc>
          <w:tcPr>
            <w:tcW w:w="2563" w:type="dxa"/>
            <w:vMerge/>
            <w:tcBorders>
              <w:top w:val="nil"/>
              <w:left w:val="single" w:sz="4" w:space="0" w:color="auto"/>
              <w:bottom w:val="single" w:sz="4" w:space="0" w:color="000000"/>
              <w:right w:val="single" w:sz="4" w:space="0" w:color="auto"/>
            </w:tcBorders>
            <w:vAlign w:val="center"/>
            <w:hideMark/>
          </w:tcPr>
          <w:p w14:paraId="25E878AF" w14:textId="77777777" w:rsidR="008D06F2" w:rsidRPr="000A7FD1" w:rsidRDefault="008D06F2" w:rsidP="008D06F2">
            <w:pPr>
              <w:widowControl/>
              <w:adjustRightInd/>
              <w:spacing w:before="0" w:after="0"/>
              <w:textAlignment w:val="auto"/>
              <w:rPr>
                <w:rFonts w:cs="Arial"/>
                <w:sz w:val="20"/>
                <w:szCs w:val="20"/>
              </w:rPr>
            </w:pPr>
          </w:p>
        </w:tc>
        <w:tc>
          <w:tcPr>
            <w:tcW w:w="1572" w:type="dxa"/>
            <w:tcBorders>
              <w:top w:val="nil"/>
              <w:left w:val="nil"/>
              <w:bottom w:val="single" w:sz="4" w:space="0" w:color="auto"/>
              <w:right w:val="nil"/>
            </w:tcBorders>
            <w:shd w:val="clear" w:color="auto" w:fill="auto"/>
            <w:hideMark/>
          </w:tcPr>
          <w:p w14:paraId="5909C0DC" w14:textId="374325C3" w:rsidR="008D06F2" w:rsidRPr="000A7FD1" w:rsidRDefault="008D06F2" w:rsidP="008D06F2">
            <w:pPr>
              <w:widowControl/>
              <w:adjustRightInd/>
              <w:spacing w:before="0" w:after="0"/>
              <w:textAlignment w:val="auto"/>
              <w:rPr>
                <w:rFonts w:cs="Arial"/>
                <w:color w:val="000000"/>
                <w:sz w:val="20"/>
                <w:szCs w:val="20"/>
              </w:rPr>
            </w:pPr>
          </w:p>
          <w:p w14:paraId="60811902" w14:textId="77777777" w:rsidR="008D06F2" w:rsidRPr="000A7FD1" w:rsidRDefault="008D06F2" w:rsidP="008D06F2">
            <w:pPr>
              <w:widowControl/>
              <w:adjustRightInd/>
              <w:spacing w:before="0" w:after="0"/>
              <w:textAlignment w:val="auto"/>
              <w:rPr>
                <w:rFonts w:cs="Arial"/>
                <w:color w:val="000000"/>
                <w:sz w:val="20"/>
                <w:szCs w:val="20"/>
              </w:rPr>
            </w:pPr>
          </w:p>
          <w:p w14:paraId="626AA33F" w14:textId="77777777" w:rsidR="008D06F2" w:rsidRPr="000A7FD1" w:rsidRDefault="008D06F2" w:rsidP="008D06F2">
            <w:pPr>
              <w:widowControl/>
              <w:adjustRightInd/>
              <w:spacing w:before="0" w:after="0"/>
              <w:textAlignment w:val="auto"/>
              <w:rPr>
                <w:rFonts w:cs="Arial"/>
                <w:color w:val="000000"/>
                <w:sz w:val="20"/>
                <w:szCs w:val="20"/>
              </w:rPr>
            </w:pPr>
          </w:p>
        </w:tc>
        <w:tc>
          <w:tcPr>
            <w:tcW w:w="1986" w:type="dxa"/>
            <w:tcBorders>
              <w:top w:val="nil"/>
              <w:left w:val="single" w:sz="8" w:space="0" w:color="auto"/>
              <w:bottom w:val="single" w:sz="4" w:space="0" w:color="auto"/>
              <w:right w:val="single" w:sz="4" w:space="0" w:color="auto"/>
            </w:tcBorders>
            <w:shd w:val="clear" w:color="auto" w:fill="auto"/>
            <w:hideMark/>
          </w:tcPr>
          <w:p w14:paraId="30058147"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456" w:type="dxa"/>
            <w:tcBorders>
              <w:top w:val="nil"/>
              <w:left w:val="nil"/>
              <w:bottom w:val="single" w:sz="4" w:space="0" w:color="auto"/>
              <w:right w:val="single" w:sz="4" w:space="0" w:color="auto"/>
            </w:tcBorders>
            <w:shd w:val="clear" w:color="auto" w:fill="auto"/>
            <w:hideMark/>
          </w:tcPr>
          <w:p w14:paraId="5E3D4F04"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68" w:type="dxa"/>
            <w:tcBorders>
              <w:top w:val="nil"/>
              <w:left w:val="nil"/>
              <w:bottom w:val="single" w:sz="4" w:space="0" w:color="auto"/>
              <w:right w:val="single" w:sz="12" w:space="0" w:color="auto"/>
            </w:tcBorders>
            <w:shd w:val="clear" w:color="auto" w:fill="auto"/>
            <w:hideMark/>
          </w:tcPr>
          <w:p w14:paraId="710D3E91"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814" w:type="dxa"/>
            <w:tcBorders>
              <w:top w:val="nil"/>
              <w:left w:val="nil"/>
              <w:bottom w:val="single" w:sz="4" w:space="0" w:color="auto"/>
              <w:right w:val="nil"/>
            </w:tcBorders>
            <w:shd w:val="clear" w:color="auto" w:fill="auto"/>
            <w:hideMark/>
          </w:tcPr>
          <w:p w14:paraId="24263305"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93" w:type="dxa"/>
            <w:tcBorders>
              <w:top w:val="nil"/>
              <w:left w:val="single" w:sz="8" w:space="0" w:color="auto"/>
              <w:bottom w:val="single" w:sz="4" w:space="0" w:color="auto"/>
              <w:right w:val="single" w:sz="12" w:space="0" w:color="auto"/>
            </w:tcBorders>
            <w:shd w:val="clear" w:color="auto" w:fill="auto"/>
            <w:hideMark/>
          </w:tcPr>
          <w:p w14:paraId="6880017C"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2077" w:type="dxa"/>
            <w:tcBorders>
              <w:top w:val="nil"/>
              <w:left w:val="nil"/>
              <w:bottom w:val="single" w:sz="4" w:space="0" w:color="auto"/>
              <w:right w:val="single" w:sz="4" w:space="0" w:color="auto"/>
            </w:tcBorders>
            <w:shd w:val="clear" w:color="auto" w:fill="auto"/>
            <w:hideMark/>
          </w:tcPr>
          <w:p w14:paraId="11C5D481"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976" w:type="dxa"/>
            <w:tcBorders>
              <w:top w:val="nil"/>
              <w:left w:val="nil"/>
              <w:bottom w:val="single" w:sz="4" w:space="0" w:color="auto"/>
              <w:right w:val="single" w:sz="12" w:space="0" w:color="auto"/>
            </w:tcBorders>
            <w:shd w:val="clear" w:color="auto" w:fill="auto"/>
            <w:hideMark/>
          </w:tcPr>
          <w:p w14:paraId="6D762643"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r>
      <w:tr w:rsidR="008D06F2" w:rsidRPr="000A7FD1" w14:paraId="506E7866" w14:textId="77777777" w:rsidTr="003B3190">
        <w:trPr>
          <w:cantSplit/>
          <w:trHeight w:val="255"/>
        </w:trPr>
        <w:tc>
          <w:tcPr>
            <w:tcW w:w="1635" w:type="dxa"/>
            <w:vMerge/>
            <w:tcBorders>
              <w:top w:val="single" w:sz="4" w:space="0" w:color="000000"/>
              <w:left w:val="single" w:sz="12" w:space="0" w:color="auto"/>
              <w:bottom w:val="single" w:sz="8" w:space="0" w:color="auto"/>
              <w:right w:val="single" w:sz="4" w:space="0" w:color="auto"/>
            </w:tcBorders>
            <w:vAlign w:val="center"/>
            <w:hideMark/>
          </w:tcPr>
          <w:p w14:paraId="61B4965A" w14:textId="77777777" w:rsidR="008D06F2" w:rsidRPr="000A7FD1" w:rsidRDefault="008D06F2" w:rsidP="008D06F2">
            <w:pPr>
              <w:widowControl/>
              <w:adjustRightInd/>
              <w:spacing w:before="0" w:after="0"/>
              <w:textAlignment w:val="auto"/>
              <w:rPr>
                <w:rFonts w:cs="Arial"/>
                <w:color w:val="000000"/>
                <w:sz w:val="20"/>
                <w:szCs w:val="20"/>
              </w:rPr>
            </w:pPr>
          </w:p>
        </w:tc>
        <w:tc>
          <w:tcPr>
            <w:tcW w:w="16005" w:type="dxa"/>
            <w:gridSpan w:val="9"/>
            <w:tcBorders>
              <w:top w:val="single" w:sz="4" w:space="0" w:color="auto"/>
              <w:left w:val="nil"/>
              <w:bottom w:val="single" w:sz="4" w:space="0" w:color="auto"/>
              <w:right w:val="single" w:sz="12" w:space="0" w:color="auto"/>
            </w:tcBorders>
            <w:shd w:val="clear" w:color="000000" w:fill="000000"/>
            <w:hideMark/>
          </w:tcPr>
          <w:p w14:paraId="67F8D774" w14:textId="77777777" w:rsidR="008D06F2" w:rsidRPr="000A7FD1" w:rsidRDefault="008D06F2" w:rsidP="008D06F2">
            <w:pPr>
              <w:widowControl/>
              <w:adjustRightInd/>
              <w:spacing w:before="0" w:after="0"/>
              <w:textAlignment w:val="auto"/>
              <w:rPr>
                <w:rFonts w:cs="Arial"/>
                <w:b/>
                <w:bCs/>
                <w:color w:val="FFFFFF"/>
                <w:sz w:val="20"/>
                <w:szCs w:val="20"/>
              </w:rPr>
            </w:pPr>
            <w:r w:rsidRPr="000A7FD1">
              <w:rPr>
                <w:rFonts w:cs="Arial"/>
                <w:b/>
                <w:bCs/>
                <w:color w:val="FFFFFF"/>
                <w:sz w:val="20"/>
                <w:szCs w:val="20"/>
              </w:rPr>
              <w:t>Line item/account related</w:t>
            </w:r>
          </w:p>
        </w:tc>
      </w:tr>
      <w:tr w:rsidR="008D06F2" w:rsidRPr="000A7FD1" w14:paraId="1F41EC06" w14:textId="77777777" w:rsidTr="003B3190">
        <w:trPr>
          <w:cantSplit/>
          <w:trHeight w:val="3645"/>
        </w:trPr>
        <w:tc>
          <w:tcPr>
            <w:tcW w:w="1635" w:type="dxa"/>
            <w:vMerge/>
            <w:tcBorders>
              <w:top w:val="single" w:sz="4" w:space="0" w:color="000000"/>
              <w:left w:val="single" w:sz="12" w:space="0" w:color="auto"/>
              <w:bottom w:val="single" w:sz="8" w:space="0" w:color="auto"/>
              <w:right w:val="single" w:sz="4" w:space="0" w:color="auto"/>
            </w:tcBorders>
            <w:vAlign w:val="center"/>
            <w:hideMark/>
          </w:tcPr>
          <w:p w14:paraId="390DB32D" w14:textId="77777777" w:rsidR="008D06F2" w:rsidRPr="000A7FD1" w:rsidRDefault="008D06F2" w:rsidP="008D06F2">
            <w:pPr>
              <w:widowControl/>
              <w:adjustRightInd/>
              <w:spacing w:before="0" w:after="0"/>
              <w:textAlignment w:val="auto"/>
              <w:rPr>
                <w:rFonts w:cs="Arial"/>
                <w:color w:val="000000"/>
                <w:sz w:val="20"/>
                <w:szCs w:val="20"/>
              </w:rPr>
            </w:pPr>
          </w:p>
        </w:tc>
        <w:tc>
          <w:tcPr>
            <w:tcW w:w="2563" w:type="dxa"/>
            <w:tcBorders>
              <w:top w:val="single" w:sz="4" w:space="0" w:color="auto"/>
              <w:left w:val="nil"/>
              <w:bottom w:val="single" w:sz="4" w:space="0" w:color="auto"/>
              <w:right w:val="nil"/>
            </w:tcBorders>
            <w:shd w:val="clear" w:color="auto" w:fill="auto"/>
            <w:hideMark/>
          </w:tcPr>
          <w:p w14:paraId="5D9FA22F" w14:textId="77777777" w:rsidR="008D06F2" w:rsidRPr="000A7FD1" w:rsidRDefault="008D06F2" w:rsidP="008D06F2">
            <w:pPr>
              <w:widowControl/>
              <w:adjustRightInd/>
              <w:spacing w:before="0" w:after="0"/>
              <w:textAlignment w:val="auto"/>
              <w:rPr>
                <w:rFonts w:cs="Arial"/>
                <w:sz w:val="20"/>
                <w:szCs w:val="20"/>
              </w:rPr>
            </w:pPr>
            <w:r w:rsidRPr="000A7FD1">
              <w:rPr>
                <w:rFonts w:cs="Arial"/>
                <w:sz w:val="20"/>
                <w:szCs w:val="20"/>
                <w:u w:val="single"/>
              </w:rPr>
              <w:t>Accuracy, valuation, and allocation</w:t>
            </w:r>
            <w:r w:rsidRPr="000A7FD1">
              <w:rPr>
                <w:rFonts w:cs="Arial"/>
                <w:sz w:val="20"/>
                <w:szCs w:val="20"/>
              </w:rPr>
              <w:t>:</w:t>
            </w:r>
            <w:r w:rsidRPr="000A7FD1">
              <w:rPr>
                <w:rFonts w:cs="Arial"/>
                <w:sz w:val="20"/>
                <w:szCs w:val="20"/>
              </w:rPr>
              <w:br/>
              <w:t xml:space="preserve">10. Assets, liabilities, net position, budgetary balances, or projections in the sustainability statements have been included in the financial statements at inappropriate amounts. Resulting valuation or allocation adjustments have not been appropriately recorded. </w:t>
            </w:r>
          </w:p>
        </w:tc>
        <w:tc>
          <w:tcPr>
            <w:tcW w:w="1572" w:type="dxa"/>
            <w:tcBorders>
              <w:top w:val="single" w:sz="4" w:space="0" w:color="auto"/>
              <w:left w:val="single" w:sz="4" w:space="0" w:color="auto"/>
              <w:bottom w:val="single" w:sz="4" w:space="0" w:color="auto"/>
              <w:right w:val="single" w:sz="8" w:space="0" w:color="auto"/>
            </w:tcBorders>
            <w:shd w:val="clear" w:color="auto" w:fill="auto"/>
            <w:hideMark/>
          </w:tcPr>
          <w:p w14:paraId="501DC0F0" w14:textId="77777777" w:rsidR="008D06F2" w:rsidRPr="000A7FD1" w:rsidRDefault="008D06F2" w:rsidP="008D06F2">
            <w:pPr>
              <w:widowControl/>
              <w:adjustRightInd/>
              <w:spacing w:before="0" w:after="0"/>
              <w:textAlignment w:val="auto"/>
              <w:rPr>
                <w:rFonts w:cs="Arial"/>
                <w:sz w:val="20"/>
                <w:szCs w:val="20"/>
              </w:rPr>
            </w:pPr>
            <w:r w:rsidRPr="000A7FD1">
              <w:rPr>
                <w:rFonts w:cs="Arial"/>
                <w:sz w:val="20"/>
                <w:szCs w:val="20"/>
              </w:rPr>
              <w:t> </w:t>
            </w:r>
          </w:p>
        </w:tc>
        <w:tc>
          <w:tcPr>
            <w:tcW w:w="1986" w:type="dxa"/>
            <w:tcBorders>
              <w:top w:val="single" w:sz="4" w:space="0" w:color="auto"/>
              <w:left w:val="nil"/>
              <w:bottom w:val="single" w:sz="4" w:space="0" w:color="auto"/>
              <w:right w:val="single" w:sz="4" w:space="0" w:color="auto"/>
            </w:tcBorders>
            <w:shd w:val="clear" w:color="auto" w:fill="auto"/>
            <w:hideMark/>
          </w:tcPr>
          <w:p w14:paraId="207F8531"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456" w:type="dxa"/>
            <w:tcBorders>
              <w:top w:val="single" w:sz="4" w:space="0" w:color="auto"/>
              <w:left w:val="nil"/>
              <w:bottom w:val="single" w:sz="4" w:space="0" w:color="auto"/>
              <w:right w:val="single" w:sz="4" w:space="0" w:color="auto"/>
            </w:tcBorders>
            <w:shd w:val="clear" w:color="auto" w:fill="auto"/>
            <w:hideMark/>
          </w:tcPr>
          <w:p w14:paraId="57255FA6"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68" w:type="dxa"/>
            <w:tcBorders>
              <w:top w:val="single" w:sz="4" w:space="0" w:color="auto"/>
              <w:left w:val="nil"/>
              <w:bottom w:val="single" w:sz="4" w:space="0" w:color="auto"/>
              <w:right w:val="single" w:sz="12" w:space="0" w:color="auto"/>
            </w:tcBorders>
            <w:shd w:val="clear" w:color="auto" w:fill="auto"/>
            <w:hideMark/>
          </w:tcPr>
          <w:p w14:paraId="4FD33BA5"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814" w:type="dxa"/>
            <w:tcBorders>
              <w:top w:val="single" w:sz="4" w:space="0" w:color="auto"/>
              <w:left w:val="single" w:sz="12" w:space="0" w:color="auto"/>
              <w:bottom w:val="single" w:sz="4" w:space="0" w:color="auto"/>
              <w:right w:val="single" w:sz="8" w:space="0" w:color="auto"/>
            </w:tcBorders>
            <w:shd w:val="clear" w:color="auto" w:fill="auto"/>
            <w:hideMark/>
          </w:tcPr>
          <w:p w14:paraId="75A408B2"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93" w:type="dxa"/>
            <w:tcBorders>
              <w:top w:val="single" w:sz="4" w:space="0" w:color="auto"/>
              <w:left w:val="nil"/>
              <w:bottom w:val="single" w:sz="4" w:space="0" w:color="auto"/>
              <w:right w:val="nil"/>
            </w:tcBorders>
            <w:shd w:val="clear" w:color="auto" w:fill="auto"/>
            <w:hideMark/>
          </w:tcPr>
          <w:p w14:paraId="30EE9A1D"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2077" w:type="dxa"/>
            <w:tcBorders>
              <w:top w:val="single" w:sz="4" w:space="0" w:color="auto"/>
              <w:left w:val="single" w:sz="12" w:space="0" w:color="auto"/>
              <w:bottom w:val="single" w:sz="4" w:space="0" w:color="auto"/>
              <w:right w:val="single" w:sz="4" w:space="0" w:color="auto"/>
            </w:tcBorders>
            <w:shd w:val="clear" w:color="auto" w:fill="auto"/>
            <w:hideMark/>
          </w:tcPr>
          <w:p w14:paraId="4C9B1158"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976" w:type="dxa"/>
            <w:tcBorders>
              <w:top w:val="single" w:sz="4" w:space="0" w:color="auto"/>
              <w:left w:val="nil"/>
              <w:bottom w:val="single" w:sz="4" w:space="0" w:color="auto"/>
              <w:right w:val="single" w:sz="12" w:space="0" w:color="auto"/>
            </w:tcBorders>
            <w:shd w:val="clear" w:color="auto" w:fill="auto"/>
            <w:hideMark/>
          </w:tcPr>
          <w:p w14:paraId="73F52965"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r>
      <w:tr w:rsidR="008D06F2" w:rsidRPr="000A7FD1" w14:paraId="02FA1857" w14:textId="77777777" w:rsidTr="003B3190">
        <w:trPr>
          <w:cantSplit/>
          <w:trHeight w:val="1650"/>
        </w:trPr>
        <w:tc>
          <w:tcPr>
            <w:tcW w:w="1635" w:type="dxa"/>
            <w:vMerge/>
            <w:tcBorders>
              <w:top w:val="single" w:sz="4" w:space="0" w:color="000000"/>
              <w:left w:val="single" w:sz="12" w:space="0" w:color="auto"/>
              <w:bottom w:val="single" w:sz="8" w:space="0" w:color="auto"/>
              <w:right w:val="single" w:sz="4" w:space="0" w:color="auto"/>
            </w:tcBorders>
            <w:vAlign w:val="center"/>
            <w:hideMark/>
          </w:tcPr>
          <w:p w14:paraId="3F085E0C" w14:textId="77777777" w:rsidR="008D06F2" w:rsidRPr="000A7FD1" w:rsidRDefault="008D06F2" w:rsidP="008D06F2">
            <w:pPr>
              <w:widowControl/>
              <w:adjustRightInd/>
              <w:spacing w:before="0" w:after="0"/>
              <w:textAlignment w:val="auto"/>
              <w:rPr>
                <w:rFonts w:cs="Arial"/>
                <w:color w:val="000000"/>
                <w:sz w:val="20"/>
                <w:szCs w:val="20"/>
              </w:rPr>
            </w:pPr>
          </w:p>
        </w:tc>
        <w:tc>
          <w:tcPr>
            <w:tcW w:w="2563" w:type="dxa"/>
            <w:tcBorders>
              <w:top w:val="nil"/>
              <w:left w:val="nil"/>
              <w:bottom w:val="single" w:sz="4" w:space="0" w:color="auto"/>
              <w:right w:val="nil"/>
            </w:tcBorders>
            <w:shd w:val="clear" w:color="auto" w:fill="auto"/>
            <w:hideMark/>
          </w:tcPr>
          <w:p w14:paraId="47BCECFB" w14:textId="77777777" w:rsidR="008D06F2" w:rsidRPr="000A7FD1" w:rsidRDefault="008D06F2" w:rsidP="008D06F2">
            <w:pPr>
              <w:widowControl/>
              <w:adjustRightInd/>
              <w:spacing w:before="0" w:after="0"/>
              <w:textAlignment w:val="auto"/>
              <w:rPr>
                <w:rFonts w:cs="Arial"/>
                <w:sz w:val="20"/>
                <w:szCs w:val="20"/>
              </w:rPr>
            </w:pPr>
            <w:r w:rsidRPr="000A7FD1">
              <w:rPr>
                <w:rFonts w:cs="Arial"/>
                <w:sz w:val="20"/>
                <w:szCs w:val="20"/>
                <w:u w:val="single"/>
              </w:rPr>
              <w:t>Measurement</w:t>
            </w:r>
            <w:r w:rsidRPr="000A7FD1">
              <w:rPr>
                <w:rFonts w:cs="Arial"/>
                <w:sz w:val="20"/>
                <w:szCs w:val="20"/>
              </w:rPr>
              <w:t>:</w:t>
            </w:r>
            <w:r w:rsidRPr="000A7FD1">
              <w:rPr>
                <w:rFonts w:cs="Arial"/>
                <w:sz w:val="20"/>
                <w:szCs w:val="20"/>
              </w:rPr>
              <w:br/>
              <w:t>11. Revenues, expenses, and budgetary activity included in the financial statements are measured improperly.</w:t>
            </w:r>
          </w:p>
          <w:p w14:paraId="09A3518E" w14:textId="77777777" w:rsidR="00C017A6" w:rsidRPr="000A7FD1" w:rsidRDefault="00C017A6" w:rsidP="008D06F2">
            <w:pPr>
              <w:widowControl/>
              <w:adjustRightInd/>
              <w:spacing w:before="0" w:after="0"/>
              <w:textAlignment w:val="auto"/>
              <w:rPr>
                <w:rFonts w:cs="Arial"/>
                <w:sz w:val="20"/>
                <w:szCs w:val="20"/>
              </w:rPr>
            </w:pPr>
          </w:p>
          <w:p w14:paraId="5A3CAEC2" w14:textId="77777777" w:rsidR="00C017A6" w:rsidRPr="000A7FD1" w:rsidRDefault="00C017A6" w:rsidP="008D06F2">
            <w:pPr>
              <w:widowControl/>
              <w:adjustRightInd/>
              <w:spacing w:before="0" w:after="0"/>
              <w:textAlignment w:val="auto"/>
              <w:rPr>
                <w:rFonts w:cs="Arial"/>
                <w:sz w:val="20"/>
                <w:szCs w:val="20"/>
              </w:rPr>
            </w:pPr>
          </w:p>
          <w:p w14:paraId="2B9E61C7" w14:textId="77777777" w:rsidR="00C017A6" w:rsidRPr="000A7FD1" w:rsidRDefault="00C017A6" w:rsidP="008D06F2">
            <w:pPr>
              <w:widowControl/>
              <w:adjustRightInd/>
              <w:spacing w:before="0" w:after="0"/>
              <w:textAlignment w:val="auto"/>
              <w:rPr>
                <w:rFonts w:cs="Arial"/>
                <w:sz w:val="20"/>
                <w:szCs w:val="20"/>
              </w:rPr>
            </w:pPr>
          </w:p>
          <w:p w14:paraId="5AA17411" w14:textId="77777777" w:rsidR="00C017A6" w:rsidRPr="000A7FD1" w:rsidRDefault="00C017A6" w:rsidP="008D06F2">
            <w:pPr>
              <w:widowControl/>
              <w:adjustRightInd/>
              <w:spacing w:before="0" w:after="0"/>
              <w:textAlignment w:val="auto"/>
              <w:rPr>
                <w:rFonts w:cs="Arial"/>
                <w:sz w:val="20"/>
                <w:szCs w:val="20"/>
              </w:rPr>
            </w:pPr>
          </w:p>
          <w:p w14:paraId="5A01EDA3" w14:textId="77777777" w:rsidR="00C017A6" w:rsidRPr="000A7FD1" w:rsidRDefault="00C017A6" w:rsidP="008D06F2">
            <w:pPr>
              <w:widowControl/>
              <w:adjustRightInd/>
              <w:spacing w:before="0" w:after="0"/>
              <w:textAlignment w:val="auto"/>
              <w:rPr>
                <w:rFonts w:cs="Arial"/>
                <w:sz w:val="20"/>
                <w:szCs w:val="20"/>
              </w:rPr>
            </w:pPr>
          </w:p>
          <w:p w14:paraId="69A2D623" w14:textId="77777777" w:rsidR="00C017A6" w:rsidRPr="000A7FD1" w:rsidRDefault="00C017A6" w:rsidP="008D06F2">
            <w:pPr>
              <w:widowControl/>
              <w:adjustRightInd/>
              <w:spacing w:before="0" w:after="0"/>
              <w:textAlignment w:val="auto"/>
              <w:rPr>
                <w:rFonts w:cs="Arial"/>
                <w:sz w:val="20"/>
                <w:szCs w:val="20"/>
              </w:rPr>
            </w:pPr>
          </w:p>
          <w:p w14:paraId="75A67A07" w14:textId="77777777" w:rsidR="00C017A6" w:rsidRPr="000A7FD1" w:rsidRDefault="00C017A6" w:rsidP="008D06F2">
            <w:pPr>
              <w:widowControl/>
              <w:adjustRightInd/>
              <w:spacing w:before="0" w:after="0"/>
              <w:textAlignment w:val="auto"/>
              <w:rPr>
                <w:rFonts w:cs="Arial"/>
                <w:sz w:val="20"/>
                <w:szCs w:val="20"/>
              </w:rPr>
            </w:pPr>
          </w:p>
          <w:p w14:paraId="512A2A46" w14:textId="77777777" w:rsidR="00C017A6" w:rsidRPr="000A7FD1" w:rsidRDefault="00C017A6" w:rsidP="008D06F2">
            <w:pPr>
              <w:widowControl/>
              <w:adjustRightInd/>
              <w:spacing w:before="0" w:after="0"/>
              <w:textAlignment w:val="auto"/>
              <w:rPr>
                <w:rFonts w:cs="Arial"/>
                <w:sz w:val="20"/>
                <w:szCs w:val="20"/>
              </w:rPr>
            </w:pPr>
          </w:p>
          <w:p w14:paraId="1AFD5937" w14:textId="77777777" w:rsidR="00C017A6" w:rsidRPr="000A7FD1" w:rsidRDefault="00C017A6" w:rsidP="008D06F2">
            <w:pPr>
              <w:widowControl/>
              <w:adjustRightInd/>
              <w:spacing w:before="0" w:after="0"/>
              <w:textAlignment w:val="auto"/>
              <w:rPr>
                <w:rFonts w:cs="Arial"/>
                <w:sz w:val="20"/>
                <w:szCs w:val="20"/>
              </w:rPr>
            </w:pPr>
          </w:p>
          <w:p w14:paraId="5CBFFC1C" w14:textId="77777777" w:rsidR="00C017A6" w:rsidRPr="000A7FD1" w:rsidRDefault="00C017A6" w:rsidP="008D06F2">
            <w:pPr>
              <w:widowControl/>
              <w:adjustRightInd/>
              <w:spacing w:before="0" w:after="0"/>
              <w:textAlignment w:val="auto"/>
              <w:rPr>
                <w:rFonts w:cs="Arial"/>
                <w:sz w:val="20"/>
                <w:szCs w:val="20"/>
              </w:rPr>
            </w:pPr>
          </w:p>
          <w:p w14:paraId="3F0CD138" w14:textId="77777777" w:rsidR="00C017A6" w:rsidRPr="000A7FD1" w:rsidRDefault="00C017A6" w:rsidP="008D06F2">
            <w:pPr>
              <w:widowControl/>
              <w:adjustRightInd/>
              <w:spacing w:before="0" w:after="0"/>
              <w:textAlignment w:val="auto"/>
              <w:rPr>
                <w:rFonts w:cs="Arial"/>
                <w:sz w:val="20"/>
                <w:szCs w:val="20"/>
              </w:rPr>
            </w:pPr>
          </w:p>
        </w:tc>
        <w:tc>
          <w:tcPr>
            <w:tcW w:w="1572" w:type="dxa"/>
            <w:tcBorders>
              <w:top w:val="nil"/>
              <w:left w:val="single" w:sz="4" w:space="0" w:color="auto"/>
              <w:bottom w:val="single" w:sz="4" w:space="0" w:color="auto"/>
              <w:right w:val="single" w:sz="8" w:space="0" w:color="auto"/>
            </w:tcBorders>
            <w:shd w:val="clear" w:color="auto" w:fill="auto"/>
            <w:hideMark/>
          </w:tcPr>
          <w:p w14:paraId="69C32988" w14:textId="5DCD55BF" w:rsidR="008D06F2" w:rsidRPr="000A7FD1" w:rsidRDefault="008D06F2" w:rsidP="008D06F2">
            <w:pPr>
              <w:widowControl/>
              <w:adjustRightInd/>
              <w:spacing w:before="0" w:after="0"/>
              <w:textAlignment w:val="auto"/>
              <w:rPr>
                <w:rFonts w:cs="Arial"/>
                <w:sz w:val="20"/>
                <w:szCs w:val="20"/>
              </w:rPr>
            </w:pPr>
            <w:r w:rsidRPr="000A7FD1">
              <w:rPr>
                <w:rFonts w:cs="Arial"/>
                <w:sz w:val="20"/>
                <w:szCs w:val="20"/>
              </w:rPr>
              <w:t>[e.g., N/A]</w:t>
            </w:r>
          </w:p>
        </w:tc>
        <w:tc>
          <w:tcPr>
            <w:tcW w:w="1986" w:type="dxa"/>
            <w:tcBorders>
              <w:top w:val="nil"/>
              <w:left w:val="nil"/>
              <w:bottom w:val="single" w:sz="4" w:space="0" w:color="auto"/>
              <w:right w:val="single" w:sz="4" w:space="0" w:color="auto"/>
            </w:tcBorders>
            <w:shd w:val="clear" w:color="auto" w:fill="auto"/>
            <w:hideMark/>
          </w:tcPr>
          <w:p w14:paraId="7F1D3E96"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456" w:type="dxa"/>
            <w:tcBorders>
              <w:top w:val="nil"/>
              <w:left w:val="nil"/>
              <w:bottom w:val="single" w:sz="4" w:space="0" w:color="auto"/>
              <w:right w:val="single" w:sz="4" w:space="0" w:color="auto"/>
            </w:tcBorders>
            <w:shd w:val="clear" w:color="auto" w:fill="auto"/>
            <w:hideMark/>
          </w:tcPr>
          <w:p w14:paraId="1FF70E2F"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68" w:type="dxa"/>
            <w:tcBorders>
              <w:top w:val="nil"/>
              <w:left w:val="nil"/>
              <w:bottom w:val="single" w:sz="4" w:space="0" w:color="auto"/>
              <w:right w:val="single" w:sz="12" w:space="0" w:color="auto"/>
            </w:tcBorders>
            <w:shd w:val="clear" w:color="auto" w:fill="auto"/>
            <w:hideMark/>
          </w:tcPr>
          <w:p w14:paraId="63E7E721"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814" w:type="dxa"/>
            <w:tcBorders>
              <w:top w:val="nil"/>
              <w:left w:val="single" w:sz="12" w:space="0" w:color="auto"/>
              <w:bottom w:val="single" w:sz="4" w:space="0" w:color="auto"/>
              <w:right w:val="single" w:sz="8" w:space="0" w:color="auto"/>
            </w:tcBorders>
            <w:shd w:val="clear" w:color="auto" w:fill="auto"/>
            <w:hideMark/>
          </w:tcPr>
          <w:p w14:paraId="529AD6D2"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93" w:type="dxa"/>
            <w:tcBorders>
              <w:top w:val="nil"/>
              <w:left w:val="nil"/>
              <w:bottom w:val="single" w:sz="4" w:space="0" w:color="auto"/>
              <w:right w:val="nil"/>
            </w:tcBorders>
            <w:shd w:val="clear" w:color="auto" w:fill="auto"/>
            <w:hideMark/>
          </w:tcPr>
          <w:p w14:paraId="19301D78"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2077" w:type="dxa"/>
            <w:tcBorders>
              <w:top w:val="nil"/>
              <w:left w:val="single" w:sz="12" w:space="0" w:color="auto"/>
              <w:bottom w:val="single" w:sz="4" w:space="0" w:color="auto"/>
              <w:right w:val="single" w:sz="4" w:space="0" w:color="auto"/>
            </w:tcBorders>
            <w:shd w:val="clear" w:color="auto" w:fill="auto"/>
            <w:hideMark/>
          </w:tcPr>
          <w:p w14:paraId="65E73CA3"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976" w:type="dxa"/>
            <w:tcBorders>
              <w:top w:val="nil"/>
              <w:left w:val="nil"/>
              <w:bottom w:val="single" w:sz="4" w:space="0" w:color="auto"/>
              <w:right w:val="single" w:sz="12" w:space="0" w:color="auto"/>
            </w:tcBorders>
            <w:shd w:val="clear" w:color="auto" w:fill="auto"/>
            <w:hideMark/>
          </w:tcPr>
          <w:p w14:paraId="730E3452"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r>
      <w:tr w:rsidR="008D06F2" w:rsidRPr="000A7FD1" w14:paraId="4CBEF1BF" w14:textId="77777777" w:rsidTr="003B3190">
        <w:trPr>
          <w:cantSplit/>
          <w:trHeight w:val="255"/>
        </w:trPr>
        <w:tc>
          <w:tcPr>
            <w:tcW w:w="1635" w:type="dxa"/>
            <w:vMerge w:val="restart"/>
            <w:tcBorders>
              <w:top w:val="single" w:sz="8" w:space="0" w:color="auto"/>
              <w:left w:val="single" w:sz="12" w:space="0" w:color="auto"/>
              <w:bottom w:val="single" w:sz="8" w:space="0" w:color="auto"/>
              <w:right w:val="single" w:sz="12" w:space="0" w:color="auto"/>
            </w:tcBorders>
            <w:shd w:val="clear" w:color="auto" w:fill="auto"/>
            <w:hideMark/>
          </w:tcPr>
          <w:p w14:paraId="4F848078"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lastRenderedPageBreak/>
              <w:t>Rights and Obligations</w:t>
            </w:r>
          </w:p>
        </w:tc>
        <w:tc>
          <w:tcPr>
            <w:tcW w:w="16005" w:type="dxa"/>
            <w:gridSpan w:val="9"/>
            <w:tcBorders>
              <w:top w:val="single" w:sz="4" w:space="0" w:color="auto"/>
              <w:left w:val="single" w:sz="12" w:space="0" w:color="auto"/>
              <w:bottom w:val="single" w:sz="4" w:space="0" w:color="auto"/>
              <w:right w:val="single" w:sz="12" w:space="0" w:color="auto"/>
            </w:tcBorders>
            <w:shd w:val="clear" w:color="000000" w:fill="000000"/>
            <w:hideMark/>
          </w:tcPr>
          <w:p w14:paraId="294164A6" w14:textId="77777777" w:rsidR="008D06F2" w:rsidRPr="000A7FD1" w:rsidRDefault="008D06F2" w:rsidP="008D06F2">
            <w:pPr>
              <w:widowControl/>
              <w:adjustRightInd/>
              <w:spacing w:before="0" w:after="0"/>
              <w:textAlignment w:val="auto"/>
              <w:rPr>
                <w:rFonts w:cs="Arial"/>
                <w:b/>
                <w:bCs/>
                <w:color w:val="FFFFFF"/>
                <w:sz w:val="20"/>
                <w:szCs w:val="20"/>
              </w:rPr>
            </w:pPr>
            <w:r w:rsidRPr="000A7FD1">
              <w:rPr>
                <w:rFonts w:cs="Arial"/>
                <w:b/>
                <w:bCs/>
                <w:color w:val="FFFFFF"/>
                <w:sz w:val="20"/>
                <w:szCs w:val="20"/>
              </w:rPr>
              <w:t>Line item/account related</w:t>
            </w:r>
          </w:p>
        </w:tc>
      </w:tr>
      <w:tr w:rsidR="008D06F2" w:rsidRPr="000A7FD1" w14:paraId="6BF62A9A" w14:textId="77777777" w:rsidTr="003B3190">
        <w:trPr>
          <w:cantSplit/>
          <w:trHeight w:val="1620"/>
        </w:trPr>
        <w:tc>
          <w:tcPr>
            <w:tcW w:w="1635" w:type="dxa"/>
            <w:vMerge/>
            <w:tcBorders>
              <w:top w:val="single" w:sz="4" w:space="0" w:color="auto"/>
              <w:left w:val="single" w:sz="12" w:space="0" w:color="auto"/>
              <w:bottom w:val="single" w:sz="8" w:space="0" w:color="auto"/>
              <w:right w:val="single" w:sz="4" w:space="0" w:color="auto"/>
            </w:tcBorders>
            <w:vAlign w:val="center"/>
            <w:hideMark/>
          </w:tcPr>
          <w:p w14:paraId="544D0420" w14:textId="77777777" w:rsidR="008D06F2" w:rsidRPr="000A7FD1" w:rsidRDefault="008D06F2" w:rsidP="008D06F2">
            <w:pPr>
              <w:widowControl/>
              <w:adjustRightInd/>
              <w:spacing w:before="0" w:after="0"/>
              <w:textAlignment w:val="auto"/>
              <w:rPr>
                <w:rFonts w:cs="Arial"/>
                <w:color w:val="000000"/>
                <w:sz w:val="20"/>
                <w:szCs w:val="20"/>
              </w:rPr>
            </w:pPr>
          </w:p>
        </w:tc>
        <w:tc>
          <w:tcPr>
            <w:tcW w:w="2563" w:type="dxa"/>
            <w:tcBorders>
              <w:top w:val="nil"/>
              <w:left w:val="nil"/>
              <w:bottom w:val="single" w:sz="8" w:space="0" w:color="auto"/>
              <w:right w:val="nil"/>
            </w:tcBorders>
            <w:shd w:val="clear" w:color="auto" w:fill="auto"/>
            <w:hideMark/>
          </w:tcPr>
          <w:p w14:paraId="29A4345D"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u w:val="single"/>
              </w:rPr>
              <w:t>Ownership</w:t>
            </w:r>
            <w:r w:rsidRPr="000A7FD1">
              <w:rPr>
                <w:rFonts w:cs="Arial"/>
                <w:color w:val="000000"/>
                <w:sz w:val="20"/>
                <w:szCs w:val="20"/>
              </w:rPr>
              <w:t>:</w:t>
            </w:r>
            <w:r w:rsidRPr="000A7FD1">
              <w:rPr>
                <w:rFonts w:cs="Arial"/>
                <w:color w:val="000000"/>
                <w:sz w:val="20"/>
                <w:szCs w:val="20"/>
              </w:rPr>
              <w:br/>
              <w:t>12. Recorded assets are owned by others because of sale, consignment, or other contractual arrangements.</w:t>
            </w:r>
          </w:p>
        </w:tc>
        <w:tc>
          <w:tcPr>
            <w:tcW w:w="1572" w:type="dxa"/>
            <w:tcBorders>
              <w:top w:val="nil"/>
              <w:left w:val="single" w:sz="4" w:space="0" w:color="auto"/>
              <w:bottom w:val="single" w:sz="8" w:space="0" w:color="auto"/>
              <w:right w:val="single" w:sz="8" w:space="0" w:color="auto"/>
            </w:tcBorders>
            <w:shd w:val="clear" w:color="auto" w:fill="auto"/>
            <w:hideMark/>
          </w:tcPr>
          <w:p w14:paraId="1B79AD7A"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986" w:type="dxa"/>
            <w:tcBorders>
              <w:top w:val="nil"/>
              <w:left w:val="nil"/>
              <w:bottom w:val="single" w:sz="8" w:space="0" w:color="auto"/>
              <w:right w:val="single" w:sz="4" w:space="0" w:color="auto"/>
            </w:tcBorders>
            <w:shd w:val="clear" w:color="auto" w:fill="auto"/>
            <w:hideMark/>
          </w:tcPr>
          <w:p w14:paraId="2600E50F"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456" w:type="dxa"/>
            <w:tcBorders>
              <w:top w:val="nil"/>
              <w:left w:val="nil"/>
              <w:bottom w:val="single" w:sz="8" w:space="0" w:color="auto"/>
              <w:right w:val="single" w:sz="4" w:space="0" w:color="auto"/>
            </w:tcBorders>
            <w:shd w:val="clear" w:color="auto" w:fill="auto"/>
            <w:hideMark/>
          </w:tcPr>
          <w:p w14:paraId="0B602BB9"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68" w:type="dxa"/>
            <w:tcBorders>
              <w:top w:val="nil"/>
              <w:left w:val="nil"/>
              <w:bottom w:val="single" w:sz="8" w:space="0" w:color="auto"/>
              <w:right w:val="single" w:sz="12" w:space="0" w:color="auto"/>
            </w:tcBorders>
            <w:shd w:val="clear" w:color="auto" w:fill="auto"/>
            <w:hideMark/>
          </w:tcPr>
          <w:p w14:paraId="0379FF53"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814" w:type="dxa"/>
            <w:tcBorders>
              <w:top w:val="nil"/>
              <w:left w:val="single" w:sz="12" w:space="0" w:color="auto"/>
              <w:bottom w:val="single" w:sz="8" w:space="0" w:color="auto"/>
              <w:right w:val="single" w:sz="8" w:space="0" w:color="auto"/>
            </w:tcBorders>
            <w:shd w:val="clear" w:color="auto" w:fill="auto"/>
            <w:hideMark/>
          </w:tcPr>
          <w:p w14:paraId="7A44BF95"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93" w:type="dxa"/>
            <w:tcBorders>
              <w:top w:val="nil"/>
              <w:left w:val="nil"/>
              <w:bottom w:val="single" w:sz="8" w:space="0" w:color="auto"/>
              <w:right w:val="nil"/>
            </w:tcBorders>
            <w:shd w:val="clear" w:color="auto" w:fill="auto"/>
            <w:hideMark/>
          </w:tcPr>
          <w:p w14:paraId="3A76AC51"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2077" w:type="dxa"/>
            <w:tcBorders>
              <w:top w:val="nil"/>
              <w:left w:val="single" w:sz="12" w:space="0" w:color="auto"/>
              <w:bottom w:val="single" w:sz="8" w:space="0" w:color="auto"/>
              <w:right w:val="single" w:sz="4" w:space="0" w:color="auto"/>
            </w:tcBorders>
            <w:shd w:val="clear" w:color="auto" w:fill="auto"/>
            <w:hideMark/>
          </w:tcPr>
          <w:p w14:paraId="75BD7C8F"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976" w:type="dxa"/>
            <w:tcBorders>
              <w:top w:val="nil"/>
              <w:left w:val="nil"/>
              <w:bottom w:val="single" w:sz="8" w:space="0" w:color="auto"/>
              <w:right w:val="single" w:sz="12" w:space="0" w:color="auto"/>
            </w:tcBorders>
            <w:shd w:val="clear" w:color="auto" w:fill="auto"/>
            <w:hideMark/>
          </w:tcPr>
          <w:p w14:paraId="016071B0"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r>
      <w:tr w:rsidR="008D06F2" w:rsidRPr="000A7FD1" w14:paraId="30B1CC67" w14:textId="77777777" w:rsidTr="003B3190">
        <w:trPr>
          <w:cantSplit/>
          <w:trHeight w:val="1843"/>
        </w:trPr>
        <w:tc>
          <w:tcPr>
            <w:tcW w:w="1635" w:type="dxa"/>
            <w:vMerge/>
            <w:tcBorders>
              <w:top w:val="single" w:sz="4" w:space="0" w:color="auto"/>
              <w:left w:val="single" w:sz="12" w:space="0" w:color="auto"/>
              <w:bottom w:val="single" w:sz="8" w:space="0" w:color="auto"/>
              <w:right w:val="single" w:sz="4" w:space="0" w:color="auto"/>
            </w:tcBorders>
            <w:vAlign w:val="center"/>
            <w:hideMark/>
          </w:tcPr>
          <w:p w14:paraId="5DCD4297" w14:textId="77777777" w:rsidR="008D06F2" w:rsidRPr="000A7FD1" w:rsidRDefault="008D06F2" w:rsidP="008D06F2">
            <w:pPr>
              <w:widowControl/>
              <w:adjustRightInd/>
              <w:spacing w:before="0" w:after="0"/>
              <w:textAlignment w:val="auto"/>
              <w:rPr>
                <w:rFonts w:cs="Arial"/>
                <w:color w:val="000000"/>
                <w:sz w:val="20"/>
                <w:szCs w:val="20"/>
              </w:rPr>
            </w:pPr>
          </w:p>
        </w:tc>
        <w:tc>
          <w:tcPr>
            <w:tcW w:w="2563" w:type="dxa"/>
            <w:tcBorders>
              <w:top w:val="single" w:sz="8" w:space="0" w:color="auto"/>
              <w:left w:val="nil"/>
              <w:bottom w:val="single" w:sz="8" w:space="0" w:color="auto"/>
              <w:right w:val="nil"/>
            </w:tcBorders>
            <w:shd w:val="clear" w:color="auto" w:fill="auto"/>
            <w:hideMark/>
          </w:tcPr>
          <w:p w14:paraId="26808EC5"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u w:val="single"/>
              </w:rPr>
              <w:t>Rights</w:t>
            </w:r>
            <w:r w:rsidRPr="000A7FD1">
              <w:rPr>
                <w:rFonts w:cs="Arial"/>
                <w:color w:val="000000"/>
                <w:sz w:val="20"/>
                <w:szCs w:val="20"/>
              </w:rPr>
              <w:t>:</w:t>
            </w:r>
            <w:r w:rsidRPr="000A7FD1">
              <w:rPr>
                <w:rFonts w:cs="Arial"/>
                <w:color w:val="000000"/>
                <w:sz w:val="20"/>
                <w:szCs w:val="20"/>
              </w:rPr>
              <w:br/>
              <w:t>13. The entity does not hold or control the rights to recorded assets or budgetary resources because of liens, pledges, or other restrictions.</w:t>
            </w:r>
          </w:p>
        </w:tc>
        <w:tc>
          <w:tcPr>
            <w:tcW w:w="1572" w:type="dxa"/>
            <w:tcBorders>
              <w:top w:val="single" w:sz="8" w:space="0" w:color="auto"/>
              <w:left w:val="single" w:sz="4" w:space="0" w:color="auto"/>
              <w:bottom w:val="single" w:sz="8" w:space="0" w:color="auto"/>
              <w:right w:val="single" w:sz="8" w:space="0" w:color="auto"/>
            </w:tcBorders>
            <w:shd w:val="clear" w:color="auto" w:fill="auto"/>
            <w:hideMark/>
          </w:tcPr>
          <w:p w14:paraId="2CF1F555"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986" w:type="dxa"/>
            <w:tcBorders>
              <w:top w:val="single" w:sz="8" w:space="0" w:color="auto"/>
              <w:left w:val="nil"/>
              <w:bottom w:val="single" w:sz="8" w:space="0" w:color="auto"/>
              <w:right w:val="single" w:sz="4" w:space="0" w:color="auto"/>
            </w:tcBorders>
            <w:shd w:val="clear" w:color="auto" w:fill="auto"/>
            <w:hideMark/>
          </w:tcPr>
          <w:p w14:paraId="595D8895"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456" w:type="dxa"/>
            <w:tcBorders>
              <w:top w:val="single" w:sz="8" w:space="0" w:color="auto"/>
              <w:left w:val="nil"/>
              <w:bottom w:val="single" w:sz="8" w:space="0" w:color="auto"/>
              <w:right w:val="single" w:sz="4" w:space="0" w:color="auto"/>
            </w:tcBorders>
            <w:shd w:val="clear" w:color="auto" w:fill="auto"/>
            <w:hideMark/>
          </w:tcPr>
          <w:p w14:paraId="744D99A3"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68" w:type="dxa"/>
            <w:tcBorders>
              <w:top w:val="single" w:sz="8" w:space="0" w:color="auto"/>
              <w:left w:val="nil"/>
              <w:bottom w:val="single" w:sz="8" w:space="0" w:color="auto"/>
              <w:right w:val="single" w:sz="12" w:space="0" w:color="auto"/>
            </w:tcBorders>
            <w:shd w:val="clear" w:color="auto" w:fill="auto"/>
            <w:hideMark/>
          </w:tcPr>
          <w:p w14:paraId="600BF66D"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814" w:type="dxa"/>
            <w:tcBorders>
              <w:top w:val="single" w:sz="8" w:space="0" w:color="auto"/>
              <w:left w:val="single" w:sz="12" w:space="0" w:color="auto"/>
              <w:bottom w:val="single" w:sz="8" w:space="0" w:color="auto"/>
              <w:right w:val="single" w:sz="8" w:space="0" w:color="auto"/>
            </w:tcBorders>
            <w:shd w:val="clear" w:color="auto" w:fill="auto"/>
            <w:hideMark/>
          </w:tcPr>
          <w:p w14:paraId="45F9A94F"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93" w:type="dxa"/>
            <w:tcBorders>
              <w:top w:val="single" w:sz="8" w:space="0" w:color="auto"/>
              <w:left w:val="nil"/>
              <w:bottom w:val="single" w:sz="8" w:space="0" w:color="auto"/>
              <w:right w:val="nil"/>
            </w:tcBorders>
            <w:shd w:val="clear" w:color="auto" w:fill="auto"/>
            <w:hideMark/>
          </w:tcPr>
          <w:p w14:paraId="15E12341"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2077" w:type="dxa"/>
            <w:tcBorders>
              <w:top w:val="single" w:sz="8" w:space="0" w:color="auto"/>
              <w:left w:val="single" w:sz="12" w:space="0" w:color="auto"/>
              <w:bottom w:val="single" w:sz="8" w:space="0" w:color="auto"/>
              <w:right w:val="single" w:sz="4" w:space="0" w:color="auto"/>
            </w:tcBorders>
            <w:shd w:val="clear" w:color="auto" w:fill="auto"/>
            <w:hideMark/>
          </w:tcPr>
          <w:p w14:paraId="79122923"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976" w:type="dxa"/>
            <w:tcBorders>
              <w:top w:val="single" w:sz="8" w:space="0" w:color="auto"/>
              <w:left w:val="nil"/>
              <w:bottom w:val="single" w:sz="8" w:space="0" w:color="auto"/>
              <w:right w:val="single" w:sz="12" w:space="0" w:color="auto"/>
            </w:tcBorders>
            <w:shd w:val="clear" w:color="auto" w:fill="auto"/>
            <w:hideMark/>
          </w:tcPr>
          <w:p w14:paraId="48C10A37"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r>
      <w:tr w:rsidR="008D06F2" w:rsidRPr="000A7FD1" w14:paraId="63475546" w14:textId="77777777" w:rsidTr="00C017A6">
        <w:trPr>
          <w:cantSplit/>
          <w:trHeight w:val="1843"/>
        </w:trPr>
        <w:tc>
          <w:tcPr>
            <w:tcW w:w="1635" w:type="dxa"/>
            <w:vMerge/>
            <w:tcBorders>
              <w:top w:val="single" w:sz="4" w:space="0" w:color="auto"/>
              <w:left w:val="single" w:sz="12" w:space="0" w:color="auto"/>
              <w:bottom w:val="single" w:sz="8" w:space="0" w:color="auto"/>
              <w:right w:val="single" w:sz="4" w:space="0" w:color="auto"/>
            </w:tcBorders>
            <w:vAlign w:val="center"/>
            <w:hideMark/>
          </w:tcPr>
          <w:p w14:paraId="2FFB5EE4" w14:textId="77777777" w:rsidR="008D06F2" w:rsidRPr="000A7FD1" w:rsidRDefault="008D06F2" w:rsidP="008D06F2">
            <w:pPr>
              <w:widowControl/>
              <w:adjustRightInd/>
              <w:spacing w:before="0" w:after="0"/>
              <w:textAlignment w:val="auto"/>
              <w:rPr>
                <w:rFonts w:cs="Arial"/>
                <w:color w:val="000000"/>
                <w:sz w:val="20"/>
                <w:szCs w:val="20"/>
              </w:rPr>
            </w:pPr>
          </w:p>
        </w:tc>
        <w:tc>
          <w:tcPr>
            <w:tcW w:w="2563" w:type="dxa"/>
            <w:tcBorders>
              <w:top w:val="single" w:sz="8" w:space="0" w:color="auto"/>
              <w:left w:val="nil"/>
              <w:bottom w:val="single" w:sz="4" w:space="0" w:color="auto"/>
              <w:right w:val="nil"/>
            </w:tcBorders>
            <w:shd w:val="clear" w:color="auto" w:fill="auto"/>
            <w:hideMark/>
          </w:tcPr>
          <w:p w14:paraId="597411A4"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u w:val="single"/>
              </w:rPr>
              <w:t>Obligations</w:t>
            </w:r>
            <w:r w:rsidRPr="000A7FD1">
              <w:rPr>
                <w:rFonts w:cs="Arial"/>
                <w:color w:val="000000"/>
                <w:sz w:val="20"/>
                <w:szCs w:val="20"/>
              </w:rPr>
              <w:t>:</w:t>
            </w:r>
            <w:r w:rsidRPr="000A7FD1">
              <w:rPr>
                <w:rFonts w:cs="Arial"/>
                <w:color w:val="000000"/>
                <w:sz w:val="20"/>
                <w:szCs w:val="20"/>
              </w:rPr>
              <w:br/>
              <w:t>14. The entity does not have an obligation for recorded liabilities at a given date. Budgetary obligations do not pertain to the entity.</w:t>
            </w:r>
          </w:p>
        </w:tc>
        <w:tc>
          <w:tcPr>
            <w:tcW w:w="1572" w:type="dxa"/>
            <w:tcBorders>
              <w:top w:val="single" w:sz="8" w:space="0" w:color="auto"/>
              <w:left w:val="single" w:sz="4" w:space="0" w:color="auto"/>
              <w:bottom w:val="single" w:sz="4" w:space="0" w:color="auto"/>
              <w:right w:val="single" w:sz="8" w:space="0" w:color="auto"/>
            </w:tcBorders>
            <w:shd w:val="clear" w:color="auto" w:fill="auto"/>
            <w:hideMark/>
          </w:tcPr>
          <w:p w14:paraId="54D59EFD" w14:textId="24DA1052"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[e.g., N/A]</w:t>
            </w:r>
          </w:p>
        </w:tc>
        <w:tc>
          <w:tcPr>
            <w:tcW w:w="1986" w:type="dxa"/>
            <w:tcBorders>
              <w:top w:val="single" w:sz="8" w:space="0" w:color="auto"/>
              <w:left w:val="nil"/>
              <w:bottom w:val="single" w:sz="4" w:space="0" w:color="auto"/>
              <w:right w:val="single" w:sz="4" w:space="0" w:color="auto"/>
            </w:tcBorders>
            <w:shd w:val="clear" w:color="auto" w:fill="auto"/>
            <w:hideMark/>
          </w:tcPr>
          <w:p w14:paraId="224124A8"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456" w:type="dxa"/>
            <w:tcBorders>
              <w:top w:val="single" w:sz="8" w:space="0" w:color="auto"/>
              <w:left w:val="nil"/>
              <w:bottom w:val="single" w:sz="4" w:space="0" w:color="auto"/>
              <w:right w:val="single" w:sz="4" w:space="0" w:color="auto"/>
            </w:tcBorders>
            <w:shd w:val="clear" w:color="auto" w:fill="auto"/>
            <w:hideMark/>
          </w:tcPr>
          <w:p w14:paraId="38280538"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68" w:type="dxa"/>
            <w:tcBorders>
              <w:top w:val="single" w:sz="8" w:space="0" w:color="auto"/>
              <w:left w:val="nil"/>
              <w:bottom w:val="single" w:sz="4" w:space="0" w:color="auto"/>
              <w:right w:val="single" w:sz="12" w:space="0" w:color="auto"/>
            </w:tcBorders>
            <w:shd w:val="clear" w:color="auto" w:fill="auto"/>
            <w:hideMark/>
          </w:tcPr>
          <w:p w14:paraId="725CF40E"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814" w:type="dxa"/>
            <w:tcBorders>
              <w:top w:val="single" w:sz="8" w:space="0" w:color="auto"/>
              <w:left w:val="single" w:sz="12" w:space="0" w:color="auto"/>
              <w:bottom w:val="single" w:sz="4" w:space="0" w:color="auto"/>
              <w:right w:val="single" w:sz="8" w:space="0" w:color="auto"/>
            </w:tcBorders>
            <w:shd w:val="clear" w:color="auto" w:fill="auto"/>
            <w:hideMark/>
          </w:tcPr>
          <w:p w14:paraId="730BBE8F"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93" w:type="dxa"/>
            <w:tcBorders>
              <w:top w:val="single" w:sz="8" w:space="0" w:color="auto"/>
              <w:left w:val="nil"/>
              <w:bottom w:val="single" w:sz="4" w:space="0" w:color="auto"/>
              <w:right w:val="single" w:sz="12" w:space="0" w:color="auto"/>
            </w:tcBorders>
            <w:shd w:val="clear" w:color="auto" w:fill="auto"/>
            <w:hideMark/>
          </w:tcPr>
          <w:p w14:paraId="249A6F5C"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2077" w:type="dxa"/>
            <w:tcBorders>
              <w:top w:val="single" w:sz="8" w:space="0" w:color="auto"/>
              <w:left w:val="nil"/>
              <w:bottom w:val="single" w:sz="4" w:space="0" w:color="auto"/>
              <w:right w:val="single" w:sz="4" w:space="0" w:color="auto"/>
            </w:tcBorders>
            <w:shd w:val="clear" w:color="auto" w:fill="auto"/>
            <w:hideMark/>
          </w:tcPr>
          <w:p w14:paraId="53AED631"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976" w:type="dxa"/>
            <w:tcBorders>
              <w:top w:val="single" w:sz="8" w:space="0" w:color="auto"/>
              <w:left w:val="nil"/>
              <w:bottom w:val="single" w:sz="4" w:space="0" w:color="auto"/>
              <w:right w:val="single" w:sz="12" w:space="0" w:color="auto"/>
            </w:tcBorders>
            <w:shd w:val="clear" w:color="auto" w:fill="auto"/>
            <w:hideMark/>
          </w:tcPr>
          <w:p w14:paraId="755BF15C"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r>
      <w:tr w:rsidR="008D06F2" w:rsidRPr="000A7FD1" w14:paraId="1B07B2F8" w14:textId="77777777" w:rsidTr="003B3190">
        <w:trPr>
          <w:cantSplit/>
          <w:trHeight w:val="255"/>
        </w:trPr>
        <w:tc>
          <w:tcPr>
            <w:tcW w:w="1635" w:type="dxa"/>
            <w:vMerge w:val="restart"/>
            <w:tcBorders>
              <w:top w:val="single" w:sz="8" w:space="0" w:color="auto"/>
              <w:left w:val="single" w:sz="12" w:space="0" w:color="auto"/>
              <w:bottom w:val="single" w:sz="8" w:space="0" w:color="auto"/>
              <w:right w:val="single" w:sz="12" w:space="0" w:color="auto"/>
            </w:tcBorders>
            <w:shd w:val="clear" w:color="auto" w:fill="auto"/>
            <w:hideMark/>
          </w:tcPr>
          <w:p w14:paraId="429F4C33"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Presentation and Disclosure</w:t>
            </w:r>
          </w:p>
        </w:tc>
        <w:tc>
          <w:tcPr>
            <w:tcW w:w="16005" w:type="dxa"/>
            <w:gridSpan w:val="9"/>
            <w:tcBorders>
              <w:top w:val="single" w:sz="4" w:space="0" w:color="auto"/>
              <w:left w:val="single" w:sz="12" w:space="0" w:color="auto"/>
              <w:bottom w:val="single" w:sz="4" w:space="0" w:color="auto"/>
              <w:right w:val="single" w:sz="12" w:space="0" w:color="auto"/>
            </w:tcBorders>
            <w:shd w:val="clear" w:color="000000" w:fill="000000"/>
            <w:hideMark/>
          </w:tcPr>
          <w:p w14:paraId="743B1E56" w14:textId="3D4679C1" w:rsidR="008D06F2" w:rsidRPr="000A7FD1" w:rsidRDefault="008D06F2" w:rsidP="008D06F2">
            <w:pPr>
              <w:widowControl/>
              <w:adjustRightInd/>
              <w:spacing w:before="0" w:after="0"/>
              <w:textAlignment w:val="auto"/>
              <w:rPr>
                <w:rFonts w:cs="Arial"/>
                <w:b/>
                <w:bCs/>
                <w:color w:val="FFFFFF"/>
                <w:sz w:val="20"/>
                <w:szCs w:val="20"/>
              </w:rPr>
            </w:pPr>
            <w:r w:rsidRPr="000A7FD1">
              <w:rPr>
                <w:rFonts w:cs="Arial"/>
                <w:b/>
                <w:bCs/>
                <w:color w:val="FFFFFF"/>
                <w:sz w:val="20"/>
                <w:szCs w:val="20"/>
              </w:rPr>
              <w:t xml:space="preserve">Transaction and </w:t>
            </w:r>
            <w:r w:rsidR="00BD425C" w:rsidRPr="000A7FD1">
              <w:rPr>
                <w:rFonts w:cs="Arial"/>
                <w:b/>
                <w:bCs/>
                <w:color w:val="FFFFFF"/>
                <w:sz w:val="20"/>
                <w:szCs w:val="20"/>
              </w:rPr>
              <w:t xml:space="preserve">line </w:t>
            </w:r>
            <w:r w:rsidRPr="000A7FD1">
              <w:rPr>
                <w:rFonts w:cs="Arial"/>
                <w:b/>
                <w:bCs/>
                <w:color w:val="FFFFFF"/>
                <w:sz w:val="20"/>
                <w:szCs w:val="20"/>
              </w:rPr>
              <w:t>item/account related</w:t>
            </w:r>
          </w:p>
        </w:tc>
      </w:tr>
      <w:tr w:rsidR="008D06F2" w:rsidRPr="000A7FD1" w14:paraId="4FC854A7" w14:textId="77777777" w:rsidTr="003B3190">
        <w:trPr>
          <w:cantSplit/>
          <w:trHeight w:val="1051"/>
        </w:trPr>
        <w:tc>
          <w:tcPr>
            <w:tcW w:w="1635" w:type="dxa"/>
            <w:vMerge/>
            <w:tcBorders>
              <w:top w:val="single" w:sz="8" w:space="0" w:color="000000"/>
              <w:left w:val="single" w:sz="12" w:space="0" w:color="auto"/>
              <w:bottom w:val="single" w:sz="8" w:space="0" w:color="auto"/>
              <w:right w:val="nil"/>
            </w:tcBorders>
            <w:vAlign w:val="center"/>
            <w:hideMark/>
          </w:tcPr>
          <w:p w14:paraId="116992F6" w14:textId="77777777" w:rsidR="008D06F2" w:rsidRPr="000A7FD1" w:rsidRDefault="008D06F2" w:rsidP="008D06F2">
            <w:pPr>
              <w:widowControl/>
              <w:adjustRightInd/>
              <w:spacing w:before="0" w:after="0"/>
              <w:textAlignment w:val="auto"/>
              <w:rPr>
                <w:rFonts w:cs="Arial"/>
                <w:color w:val="000000"/>
                <w:sz w:val="20"/>
                <w:szCs w:val="20"/>
              </w:rPr>
            </w:pPr>
          </w:p>
        </w:tc>
        <w:tc>
          <w:tcPr>
            <w:tcW w:w="2563" w:type="dxa"/>
            <w:vMerge w:val="restart"/>
            <w:tcBorders>
              <w:top w:val="nil"/>
              <w:left w:val="single" w:sz="4" w:space="0" w:color="auto"/>
              <w:bottom w:val="single" w:sz="4" w:space="0" w:color="000000"/>
              <w:right w:val="single" w:sz="4" w:space="0" w:color="auto"/>
            </w:tcBorders>
            <w:shd w:val="clear" w:color="auto" w:fill="auto"/>
            <w:hideMark/>
          </w:tcPr>
          <w:p w14:paraId="1A37AA0E"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u w:val="single"/>
              </w:rPr>
              <w:t>Presentation</w:t>
            </w:r>
            <w:r w:rsidRPr="000A7FD1">
              <w:rPr>
                <w:rFonts w:cs="Arial"/>
                <w:color w:val="000000"/>
                <w:sz w:val="20"/>
                <w:szCs w:val="20"/>
              </w:rPr>
              <w:t>:</w:t>
            </w:r>
            <w:r w:rsidRPr="000A7FD1">
              <w:rPr>
                <w:rFonts w:cs="Arial"/>
                <w:color w:val="000000"/>
                <w:sz w:val="20"/>
                <w:szCs w:val="20"/>
              </w:rPr>
              <w:br/>
              <w:t>15. Financial or other</w:t>
            </w:r>
            <w:r w:rsidRPr="000A7FD1">
              <w:rPr>
                <w:rFonts w:cs="Arial"/>
                <w:color w:val="000000"/>
                <w:sz w:val="20"/>
                <w:szCs w:val="20"/>
              </w:rPr>
              <w:br/>
              <w:t>information in the financial</w:t>
            </w:r>
            <w:r w:rsidRPr="000A7FD1">
              <w:rPr>
                <w:rFonts w:cs="Arial"/>
                <w:color w:val="000000"/>
                <w:sz w:val="20"/>
                <w:szCs w:val="20"/>
              </w:rPr>
              <w:br/>
              <w:t>statements is not</w:t>
            </w:r>
            <w:r w:rsidRPr="000A7FD1">
              <w:rPr>
                <w:rFonts w:cs="Arial"/>
                <w:color w:val="000000"/>
                <w:sz w:val="20"/>
                <w:szCs w:val="20"/>
              </w:rPr>
              <w:br/>
              <w:t>appropriately aggregated or disaggregated or is not</w:t>
            </w:r>
            <w:r w:rsidRPr="000A7FD1">
              <w:rPr>
                <w:rFonts w:cs="Arial"/>
                <w:color w:val="000000"/>
                <w:sz w:val="20"/>
                <w:szCs w:val="20"/>
              </w:rPr>
              <w:br/>
              <w:t xml:space="preserve">clearly described. </w:t>
            </w:r>
          </w:p>
        </w:tc>
        <w:tc>
          <w:tcPr>
            <w:tcW w:w="1572" w:type="dxa"/>
            <w:tcBorders>
              <w:top w:val="nil"/>
              <w:left w:val="nil"/>
              <w:bottom w:val="single" w:sz="4" w:space="0" w:color="auto"/>
              <w:right w:val="single" w:sz="8" w:space="0" w:color="auto"/>
            </w:tcBorders>
            <w:shd w:val="clear" w:color="auto" w:fill="auto"/>
            <w:hideMark/>
          </w:tcPr>
          <w:p w14:paraId="6483A7E3"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[e.g., cash receipts, SCE.1]</w:t>
            </w:r>
          </w:p>
        </w:tc>
        <w:tc>
          <w:tcPr>
            <w:tcW w:w="1986" w:type="dxa"/>
            <w:tcBorders>
              <w:top w:val="nil"/>
              <w:left w:val="nil"/>
              <w:bottom w:val="single" w:sz="4" w:space="0" w:color="auto"/>
              <w:right w:val="single" w:sz="4" w:space="0" w:color="auto"/>
            </w:tcBorders>
            <w:shd w:val="clear" w:color="auto" w:fill="auto"/>
            <w:hideMark/>
          </w:tcPr>
          <w:p w14:paraId="29CC9046"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456" w:type="dxa"/>
            <w:tcBorders>
              <w:top w:val="nil"/>
              <w:left w:val="nil"/>
              <w:bottom w:val="single" w:sz="4" w:space="0" w:color="auto"/>
              <w:right w:val="single" w:sz="4" w:space="0" w:color="auto"/>
            </w:tcBorders>
            <w:shd w:val="clear" w:color="auto" w:fill="auto"/>
            <w:noWrap/>
            <w:hideMark/>
          </w:tcPr>
          <w:p w14:paraId="27C79AFB"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68" w:type="dxa"/>
            <w:tcBorders>
              <w:top w:val="nil"/>
              <w:left w:val="nil"/>
              <w:bottom w:val="single" w:sz="4" w:space="0" w:color="auto"/>
              <w:right w:val="single" w:sz="12" w:space="0" w:color="auto"/>
            </w:tcBorders>
            <w:shd w:val="clear" w:color="auto" w:fill="auto"/>
            <w:hideMark/>
          </w:tcPr>
          <w:p w14:paraId="2F9168F3"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814" w:type="dxa"/>
            <w:tcBorders>
              <w:top w:val="nil"/>
              <w:left w:val="single" w:sz="12" w:space="0" w:color="auto"/>
              <w:bottom w:val="single" w:sz="4" w:space="0" w:color="auto"/>
              <w:right w:val="single" w:sz="8" w:space="0" w:color="auto"/>
            </w:tcBorders>
            <w:shd w:val="clear" w:color="auto" w:fill="auto"/>
            <w:noWrap/>
            <w:hideMark/>
          </w:tcPr>
          <w:p w14:paraId="7873FCFA"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93" w:type="dxa"/>
            <w:tcBorders>
              <w:top w:val="nil"/>
              <w:left w:val="nil"/>
              <w:bottom w:val="single" w:sz="4" w:space="0" w:color="auto"/>
              <w:right w:val="single" w:sz="12" w:space="0" w:color="auto"/>
            </w:tcBorders>
            <w:shd w:val="clear" w:color="auto" w:fill="auto"/>
            <w:noWrap/>
            <w:hideMark/>
          </w:tcPr>
          <w:p w14:paraId="14BD06B2"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2077" w:type="dxa"/>
            <w:tcBorders>
              <w:top w:val="nil"/>
              <w:left w:val="nil"/>
              <w:bottom w:val="single" w:sz="4" w:space="0" w:color="auto"/>
              <w:right w:val="single" w:sz="4" w:space="0" w:color="auto"/>
            </w:tcBorders>
            <w:shd w:val="clear" w:color="auto" w:fill="auto"/>
            <w:hideMark/>
          </w:tcPr>
          <w:p w14:paraId="32B6A884"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976" w:type="dxa"/>
            <w:tcBorders>
              <w:top w:val="nil"/>
              <w:left w:val="nil"/>
              <w:bottom w:val="single" w:sz="4" w:space="0" w:color="auto"/>
              <w:right w:val="single" w:sz="12" w:space="0" w:color="auto"/>
            </w:tcBorders>
            <w:shd w:val="clear" w:color="auto" w:fill="auto"/>
            <w:hideMark/>
          </w:tcPr>
          <w:p w14:paraId="246B9F3B"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r>
      <w:tr w:rsidR="008D06F2" w:rsidRPr="000A7FD1" w14:paraId="083EE796" w14:textId="77777777" w:rsidTr="003B3190">
        <w:trPr>
          <w:cantSplit/>
          <w:trHeight w:val="979"/>
        </w:trPr>
        <w:tc>
          <w:tcPr>
            <w:tcW w:w="1635" w:type="dxa"/>
            <w:vMerge/>
            <w:tcBorders>
              <w:top w:val="single" w:sz="8" w:space="0" w:color="000000"/>
              <w:left w:val="single" w:sz="12" w:space="0" w:color="auto"/>
              <w:bottom w:val="single" w:sz="8" w:space="0" w:color="auto"/>
              <w:right w:val="nil"/>
            </w:tcBorders>
            <w:vAlign w:val="center"/>
            <w:hideMark/>
          </w:tcPr>
          <w:p w14:paraId="536469AD" w14:textId="77777777" w:rsidR="008D06F2" w:rsidRPr="000A7FD1" w:rsidRDefault="008D06F2" w:rsidP="008D06F2">
            <w:pPr>
              <w:widowControl/>
              <w:adjustRightInd/>
              <w:spacing w:before="0" w:after="0"/>
              <w:textAlignment w:val="auto"/>
              <w:rPr>
                <w:rFonts w:cs="Arial"/>
                <w:color w:val="000000"/>
                <w:sz w:val="20"/>
                <w:szCs w:val="20"/>
              </w:rPr>
            </w:pPr>
          </w:p>
        </w:tc>
        <w:tc>
          <w:tcPr>
            <w:tcW w:w="2563" w:type="dxa"/>
            <w:vMerge/>
            <w:tcBorders>
              <w:top w:val="nil"/>
              <w:left w:val="single" w:sz="4" w:space="0" w:color="auto"/>
              <w:bottom w:val="single" w:sz="4" w:space="0" w:color="000000"/>
              <w:right w:val="single" w:sz="4" w:space="0" w:color="auto"/>
            </w:tcBorders>
            <w:vAlign w:val="center"/>
            <w:hideMark/>
          </w:tcPr>
          <w:p w14:paraId="4E36F7F9" w14:textId="77777777" w:rsidR="008D06F2" w:rsidRPr="000A7FD1" w:rsidRDefault="008D06F2" w:rsidP="008D06F2">
            <w:pPr>
              <w:widowControl/>
              <w:adjustRightInd/>
              <w:spacing w:before="0" w:after="0"/>
              <w:textAlignment w:val="auto"/>
              <w:rPr>
                <w:rFonts w:cs="Arial"/>
                <w:color w:val="000000"/>
                <w:sz w:val="20"/>
                <w:szCs w:val="20"/>
              </w:rPr>
            </w:pPr>
          </w:p>
        </w:tc>
        <w:tc>
          <w:tcPr>
            <w:tcW w:w="1572" w:type="dxa"/>
            <w:tcBorders>
              <w:top w:val="nil"/>
              <w:left w:val="nil"/>
              <w:bottom w:val="single" w:sz="4" w:space="0" w:color="auto"/>
              <w:right w:val="single" w:sz="8" w:space="0" w:color="auto"/>
            </w:tcBorders>
            <w:shd w:val="clear" w:color="auto" w:fill="auto"/>
            <w:hideMark/>
          </w:tcPr>
          <w:p w14:paraId="2DD3FB67" w14:textId="1AAFCA09"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[e.g., cash disbursements SCE.2]</w:t>
            </w:r>
          </w:p>
        </w:tc>
        <w:tc>
          <w:tcPr>
            <w:tcW w:w="1986" w:type="dxa"/>
            <w:tcBorders>
              <w:top w:val="nil"/>
              <w:left w:val="nil"/>
              <w:bottom w:val="single" w:sz="4" w:space="0" w:color="auto"/>
              <w:right w:val="single" w:sz="4" w:space="0" w:color="auto"/>
            </w:tcBorders>
            <w:shd w:val="clear" w:color="auto" w:fill="auto"/>
            <w:hideMark/>
          </w:tcPr>
          <w:p w14:paraId="38606022"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456" w:type="dxa"/>
            <w:tcBorders>
              <w:top w:val="nil"/>
              <w:left w:val="nil"/>
              <w:bottom w:val="single" w:sz="4" w:space="0" w:color="auto"/>
              <w:right w:val="single" w:sz="4" w:space="0" w:color="auto"/>
            </w:tcBorders>
            <w:shd w:val="clear" w:color="auto" w:fill="auto"/>
            <w:noWrap/>
            <w:hideMark/>
          </w:tcPr>
          <w:p w14:paraId="6454B74A"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68" w:type="dxa"/>
            <w:tcBorders>
              <w:top w:val="nil"/>
              <w:left w:val="nil"/>
              <w:bottom w:val="single" w:sz="4" w:space="0" w:color="auto"/>
              <w:right w:val="single" w:sz="12" w:space="0" w:color="auto"/>
            </w:tcBorders>
            <w:shd w:val="clear" w:color="auto" w:fill="auto"/>
            <w:hideMark/>
          </w:tcPr>
          <w:p w14:paraId="210881E7"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814" w:type="dxa"/>
            <w:tcBorders>
              <w:top w:val="nil"/>
              <w:left w:val="single" w:sz="12" w:space="0" w:color="auto"/>
              <w:bottom w:val="single" w:sz="4" w:space="0" w:color="auto"/>
              <w:right w:val="single" w:sz="8" w:space="0" w:color="auto"/>
            </w:tcBorders>
            <w:shd w:val="clear" w:color="auto" w:fill="auto"/>
            <w:noWrap/>
            <w:hideMark/>
          </w:tcPr>
          <w:p w14:paraId="5E6C4399"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93" w:type="dxa"/>
            <w:tcBorders>
              <w:top w:val="nil"/>
              <w:left w:val="nil"/>
              <w:bottom w:val="single" w:sz="4" w:space="0" w:color="auto"/>
              <w:right w:val="single" w:sz="12" w:space="0" w:color="auto"/>
            </w:tcBorders>
            <w:shd w:val="clear" w:color="auto" w:fill="auto"/>
            <w:noWrap/>
            <w:hideMark/>
          </w:tcPr>
          <w:p w14:paraId="7A6A25C3"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2077" w:type="dxa"/>
            <w:tcBorders>
              <w:top w:val="nil"/>
              <w:left w:val="nil"/>
              <w:bottom w:val="single" w:sz="4" w:space="0" w:color="auto"/>
              <w:right w:val="single" w:sz="4" w:space="0" w:color="auto"/>
            </w:tcBorders>
            <w:shd w:val="clear" w:color="auto" w:fill="auto"/>
            <w:hideMark/>
          </w:tcPr>
          <w:p w14:paraId="55379A3B"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976" w:type="dxa"/>
            <w:tcBorders>
              <w:top w:val="nil"/>
              <w:left w:val="nil"/>
              <w:bottom w:val="single" w:sz="4" w:space="0" w:color="auto"/>
              <w:right w:val="single" w:sz="12" w:space="0" w:color="auto"/>
            </w:tcBorders>
            <w:shd w:val="clear" w:color="auto" w:fill="auto"/>
            <w:hideMark/>
          </w:tcPr>
          <w:p w14:paraId="5124B4F4"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r>
      <w:tr w:rsidR="008D06F2" w:rsidRPr="000A7FD1" w14:paraId="5821C9B4" w14:textId="77777777" w:rsidTr="00C017A6">
        <w:trPr>
          <w:cantSplit/>
          <w:trHeight w:val="1258"/>
        </w:trPr>
        <w:tc>
          <w:tcPr>
            <w:tcW w:w="1635" w:type="dxa"/>
            <w:vMerge/>
            <w:tcBorders>
              <w:top w:val="single" w:sz="8" w:space="0" w:color="000000"/>
              <w:left w:val="single" w:sz="12" w:space="0" w:color="auto"/>
              <w:bottom w:val="single" w:sz="8" w:space="0" w:color="auto"/>
              <w:right w:val="nil"/>
            </w:tcBorders>
            <w:vAlign w:val="center"/>
            <w:hideMark/>
          </w:tcPr>
          <w:p w14:paraId="70470B07" w14:textId="77777777" w:rsidR="008D06F2" w:rsidRPr="000A7FD1" w:rsidRDefault="008D06F2" w:rsidP="008D06F2">
            <w:pPr>
              <w:widowControl/>
              <w:adjustRightInd/>
              <w:spacing w:before="0" w:after="0"/>
              <w:textAlignment w:val="auto"/>
              <w:rPr>
                <w:rFonts w:cs="Arial"/>
                <w:color w:val="000000"/>
                <w:sz w:val="20"/>
                <w:szCs w:val="20"/>
              </w:rPr>
            </w:pPr>
          </w:p>
        </w:tc>
        <w:tc>
          <w:tcPr>
            <w:tcW w:w="2563" w:type="dxa"/>
            <w:vMerge/>
            <w:tcBorders>
              <w:top w:val="nil"/>
              <w:left w:val="single" w:sz="4" w:space="0" w:color="auto"/>
              <w:bottom w:val="single" w:sz="4" w:space="0" w:color="auto"/>
              <w:right w:val="single" w:sz="4" w:space="0" w:color="auto"/>
            </w:tcBorders>
            <w:vAlign w:val="center"/>
            <w:hideMark/>
          </w:tcPr>
          <w:p w14:paraId="707F0BD1" w14:textId="77777777" w:rsidR="008D06F2" w:rsidRPr="000A7FD1" w:rsidRDefault="008D06F2" w:rsidP="008D06F2">
            <w:pPr>
              <w:widowControl/>
              <w:adjustRightInd/>
              <w:spacing w:before="0" w:after="0"/>
              <w:textAlignment w:val="auto"/>
              <w:rPr>
                <w:rFonts w:cs="Arial"/>
                <w:color w:val="000000"/>
                <w:sz w:val="20"/>
                <w:szCs w:val="20"/>
              </w:rPr>
            </w:pPr>
          </w:p>
        </w:tc>
        <w:tc>
          <w:tcPr>
            <w:tcW w:w="1572" w:type="dxa"/>
            <w:tcBorders>
              <w:top w:val="nil"/>
              <w:left w:val="nil"/>
              <w:bottom w:val="single" w:sz="4" w:space="0" w:color="auto"/>
              <w:right w:val="single" w:sz="8" w:space="0" w:color="auto"/>
            </w:tcBorders>
            <w:shd w:val="clear" w:color="auto" w:fill="auto"/>
            <w:hideMark/>
          </w:tcPr>
          <w:p w14:paraId="54F54FEE"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[e.g., cash balance, SCE.3]</w:t>
            </w:r>
          </w:p>
        </w:tc>
        <w:tc>
          <w:tcPr>
            <w:tcW w:w="1986" w:type="dxa"/>
            <w:tcBorders>
              <w:top w:val="nil"/>
              <w:left w:val="nil"/>
              <w:bottom w:val="single" w:sz="4" w:space="0" w:color="auto"/>
              <w:right w:val="single" w:sz="4" w:space="0" w:color="auto"/>
            </w:tcBorders>
            <w:shd w:val="clear" w:color="auto" w:fill="auto"/>
            <w:hideMark/>
          </w:tcPr>
          <w:p w14:paraId="620832CD"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456" w:type="dxa"/>
            <w:tcBorders>
              <w:top w:val="nil"/>
              <w:left w:val="nil"/>
              <w:bottom w:val="single" w:sz="4" w:space="0" w:color="auto"/>
              <w:right w:val="single" w:sz="4" w:space="0" w:color="auto"/>
            </w:tcBorders>
            <w:shd w:val="clear" w:color="auto" w:fill="auto"/>
            <w:noWrap/>
            <w:hideMark/>
          </w:tcPr>
          <w:p w14:paraId="6F91DE67"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68" w:type="dxa"/>
            <w:tcBorders>
              <w:top w:val="nil"/>
              <w:left w:val="nil"/>
              <w:bottom w:val="single" w:sz="4" w:space="0" w:color="auto"/>
              <w:right w:val="single" w:sz="12" w:space="0" w:color="auto"/>
            </w:tcBorders>
            <w:shd w:val="clear" w:color="auto" w:fill="auto"/>
            <w:hideMark/>
          </w:tcPr>
          <w:p w14:paraId="4A0DFFE4"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814" w:type="dxa"/>
            <w:tcBorders>
              <w:top w:val="nil"/>
              <w:left w:val="single" w:sz="12" w:space="0" w:color="auto"/>
              <w:bottom w:val="single" w:sz="4" w:space="0" w:color="auto"/>
              <w:right w:val="single" w:sz="8" w:space="0" w:color="auto"/>
            </w:tcBorders>
            <w:shd w:val="clear" w:color="auto" w:fill="auto"/>
            <w:noWrap/>
            <w:hideMark/>
          </w:tcPr>
          <w:p w14:paraId="161EAC04"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1793" w:type="dxa"/>
            <w:tcBorders>
              <w:top w:val="nil"/>
              <w:left w:val="nil"/>
              <w:bottom w:val="single" w:sz="4" w:space="0" w:color="auto"/>
              <w:right w:val="single" w:sz="12" w:space="0" w:color="auto"/>
            </w:tcBorders>
            <w:shd w:val="clear" w:color="auto" w:fill="auto"/>
            <w:noWrap/>
            <w:hideMark/>
          </w:tcPr>
          <w:p w14:paraId="31B9D54B" w14:textId="77777777" w:rsidR="008D06F2" w:rsidRPr="000A7FD1" w:rsidRDefault="008D06F2" w:rsidP="008D06F2">
            <w:pPr>
              <w:widowControl/>
              <w:adjustRightInd/>
              <w:spacing w:before="0" w:after="0"/>
              <w:jc w:val="center"/>
              <w:textAlignment w:val="auto"/>
              <w:rPr>
                <w:rFonts w:cs="Arial"/>
                <w:color w:val="000000"/>
                <w:sz w:val="20"/>
                <w:szCs w:val="20"/>
              </w:rPr>
            </w:pPr>
            <w:r w:rsidRPr="000A7FD1">
              <w:rPr>
                <w:rFonts w:cs="Arial"/>
                <w:color w:val="000000"/>
                <w:sz w:val="20"/>
                <w:szCs w:val="20"/>
              </w:rPr>
              <w:t> </w:t>
            </w:r>
          </w:p>
        </w:tc>
        <w:tc>
          <w:tcPr>
            <w:tcW w:w="2077" w:type="dxa"/>
            <w:tcBorders>
              <w:top w:val="nil"/>
              <w:left w:val="nil"/>
              <w:bottom w:val="single" w:sz="4" w:space="0" w:color="auto"/>
              <w:right w:val="single" w:sz="4" w:space="0" w:color="auto"/>
            </w:tcBorders>
            <w:shd w:val="clear" w:color="auto" w:fill="auto"/>
            <w:hideMark/>
          </w:tcPr>
          <w:p w14:paraId="41386ECB"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976" w:type="dxa"/>
            <w:tcBorders>
              <w:top w:val="nil"/>
              <w:left w:val="nil"/>
              <w:bottom w:val="single" w:sz="4" w:space="0" w:color="auto"/>
              <w:right w:val="single" w:sz="12" w:space="0" w:color="auto"/>
            </w:tcBorders>
            <w:shd w:val="clear" w:color="auto" w:fill="auto"/>
            <w:hideMark/>
          </w:tcPr>
          <w:p w14:paraId="2CFF45B4"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r>
      <w:tr w:rsidR="008D06F2" w:rsidRPr="000A7FD1" w14:paraId="00CFE87E" w14:textId="77777777" w:rsidTr="00C017A6">
        <w:trPr>
          <w:cantSplit/>
          <w:trHeight w:val="853"/>
        </w:trPr>
        <w:tc>
          <w:tcPr>
            <w:tcW w:w="1635" w:type="dxa"/>
            <w:vMerge/>
            <w:tcBorders>
              <w:top w:val="single" w:sz="8" w:space="0" w:color="000000"/>
              <w:left w:val="single" w:sz="12" w:space="0" w:color="auto"/>
              <w:bottom w:val="single" w:sz="8" w:space="0" w:color="auto"/>
              <w:right w:val="nil"/>
            </w:tcBorders>
            <w:vAlign w:val="center"/>
            <w:hideMark/>
          </w:tcPr>
          <w:p w14:paraId="2343EAE4" w14:textId="77777777" w:rsidR="008D06F2" w:rsidRPr="000A7FD1" w:rsidRDefault="008D06F2" w:rsidP="008D06F2">
            <w:pPr>
              <w:widowControl/>
              <w:adjustRightInd/>
              <w:spacing w:before="0" w:after="0"/>
              <w:textAlignment w:val="auto"/>
              <w:rPr>
                <w:rFonts w:cs="Arial"/>
                <w:color w:val="000000"/>
                <w:sz w:val="20"/>
                <w:szCs w:val="20"/>
              </w:rPr>
            </w:pPr>
          </w:p>
        </w:tc>
        <w:tc>
          <w:tcPr>
            <w:tcW w:w="2563"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7F96E0E6" w14:textId="3868DC91" w:rsidR="00520277" w:rsidRPr="000A7FD1" w:rsidRDefault="008D06F2" w:rsidP="003F690E">
            <w:pPr>
              <w:widowControl/>
              <w:adjustRightInd/>
              <w:spacing w:before="0" w:after="0"/>
              <w:textAlignment w:val="auto"/>
              <w:rPr>
                <w:rFonts w:cs="Arial"/>
                <w:color w:val="000000"/>
                <w:sz w:val="20"/>
                <w:szCs w:val="20"/>
              </w:rPr>
            </w:pPr>
            <w:r w:rsidRPr="000A7FD1">
              <w:rPr>
                <w:rFonts w:cs="Arial"/>
                <w:color w:val="000000"/>
                <w:sz w:val="20"/>
                <w:szCs w:val="20"/>
                <w:u w:val="single"/>
              </w:rPr>
              <w:t>Consistenc</w:t>
            </w:r>
            <w:r w:rsidRPr="000A7FD1">
              <w:rPr>
                <w:rFonts w:cs="Arial"/>
                <w:color w:val="000000"/>
                <w:sz w:val="20"/>
                <w:szCs w:val="20"/>
              </w:rPr>
              <w:t>y:</w:t>
            </w:r>
            <w:r w:rsidRPr="000A7FD1">
              <w:rPr>
                <w:rFonts w:cs="Arial"/>
                <w:color w:val="000000"/>
                <w:sz w:val="20"/>
                <w:szCs w:val="20"/>
              </w:rPr>
              <w:br/>
              <w:t>16. The current period financial statement components are based on accounting principles different from those used in the prior periods presented.</w:t>
            </w:r>
          </w:p>
        </w:tc>
        <w:tc>
          <w:tcPr>
            <w:tcW w:w="1572" w:type="dxa"/>
            <w:tcBorders>
              <w:top w:val="single" w:sz="4" w:space="0" w:color="auto"/>
              <w:left w:val="nil"/>
              <w:bottom w:val="single" w:sz="4" w:space="0" w:color="auto"/>
              <w:right w:val="single" w:sz="8" w:space="0" w:color="auto"/>
            </w:tcBorders>
            <w:shd w:val="clear" w:color="auto" w:fill="auto"/>
            <w:hideMark/>
          </w:tcPr>
          <w:p w14:paraId="5A3EE0F9"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986" w:type="dxa"/>
            <w:tcBorders>
              <w:top w:val="single" w:sz="4" w:space="0" w:color="auto"/>
              <w:left w:val="nil"/>
              <w:bottom w:val="single" w:sz="4" w:space="0" w:color="auto"/>
              <w:right w:val="single" w:sz="4" w:space="0" w:color="auto"/>
            </w:tcBorders>
            <w:shd w:val="clear" w:color="auto" w:fill="auto"/>
            <w:hideMark/>
          </w:tcPr>
          <w:p w14:paraId="39498F64" w14:textId="77777777" w:rsidR="008D06F2" w:rsidRPr="000A7FD1" w:rsidRDefault="008D06F2" w:rsidP="008D06F2">
            <w:pPr>
              <w:widowControl/>
              <w:adjustRightInd/>
              <w:spacing w:before="0" w:after="0"/>
              <w:textAlignment w:val="auto"/>
              <w:rPr>
                <w:rFonts w:cs="Arial"/>
                <w:sz w:val="20"/>
                <w:szCs w:val="20"/>
              </w:rPr>
            </w:pPr>
            <w:r w:rsidRPr="000A7FD1">
              <w:rPr>
                <w:rFonts w:cs="Arial"/>
                <w:sz w:val="20"/>
                <w:szCs w:val="20"/>
              </w:rPr>
              <w:t> </w:t>
            </w:r>
          </w:p>
        </w:tc>
        <w:tc>
          <w:tcPr>
            <w:tcW w:w="1456" w:type="dxa"/>
            <w:tcBorders>
              <w:top w:val="single" w:sz="4" w:space="0" w:color="auto"/>
              <w:left w:val="nil"/>
              <w:bottom w:val="single" w:sz="4" w:space="0" w:color="auto"/>
              <w:right w:val="single" w:sz="4" w:space="0" w:color="auto"/>
            </w:tcBorders>
            <w:shd w:val="clear" w:color="auto" w:fill="auto"/>
            <w:noWrap/>
            <w:hideMark/>
          </w:tcPr>
          <w:p w14:paraId="560ECE7C"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768" w:type="dxa"/>
            <w:tcBorders>
              <w:top w:val="single" w:sz="4" w:space="0" w:color="auto"/>
              <w:left w:val="nil"/>
              <w:bottom w:val="single" w:sz="4" w:space="0" w:color="auto"/>
              <w:right w:val="single" w:sz="12" w:space="0" w:color="auto"/>
            </w:tcBorders>
            <w:shd w:val="clear" w:color="auto" w:fill="auto"/>
            <w:hideMark/>
          </w:tcPr>
          <w:p w14:paraId="11145F1D"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814" w:type="dxa"/>
            <w:tcBorders>
              <w:top w:val="single" w:sz="4" w:space="0" w:color="auto"/>
              <w:left w:val="single" w:sz="12" w:space="0" w:color="auto"/>
              <w:bottom w:val="single" w:sz="4" w:space="0" w:color="auto"/>
              <w:right w:val="single" w:sz="8" w:space="0" w:color="auto"/>
            </w:tcBorders>
            <w:shd w:val="clear" w:color="auto" w:fill="auto"/>
            <w:noWrap/>
            <w:hideMark/>
          </w:tcPr>
          <w:p w14:paraId="55919CDF"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793" w:type="dxa"/>
            <w:tcBorders>
              <w:top w:val="single" w:sz="4" w:space="0" w:color="auto"/>
              <w:left w:val="nil"/>
              <w:bottom w:val="single" w:sz="4" w:space="0" w:color="auto"/>
              <w:right w:val="single" w:sz="12" w:space="0" w:color="auto"/>
            </w:tcBorders>
            <w:shd w:val="clear" w:color="auto" w:fill="auto"/>
            <w:noWrap/>
            <w:hideMark/>
          </w:tcPr>
          <w:p w14:paraId="4E3BFFD6"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2077" w:type="dxa"/>
            <w:tcBorders>
              <w:top w:val="single" w:sz="4" w:space="0" w:color="auto"/>
              <w:left w:val="nil"/>
              <w:bottom w:val="single" w:sz="4" w:space="0" w:color="auto"/>
              <w:right w:val="single" w:sz="4" w:space="0" w:color="auto"/>
            </w:tcBorders>
            <w:shd w:val="clear" w:color="auto" w:fill="auto"/>
            <w:hideMark/>
          </w:tcPr>
          <w:p w14:paraId="6ED29300"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976" w:type="dxa"/>
            <w:tcBorders>
              <w:top w:val="single" w:sz="4" w:space="0" w:color="auto"/>
              <w:left w:val="nil"/>
              <w:bottom w:val="single" w:sz="4" w:space="0" w:color="auto"/>
              <w:right w:val="single" w:sz="12" w:space="0" w:color="auto"/>
            </w:tcBorders>
            <w:shd w:val="clear" w:color="auto" w:fill="auto"/>
            <w:hideMark/>
          </w:tcPr>
          <w:p w14:paraId="1F5E542C"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r>
      <w:tr w:rsidR="008D06F2" w:rsidRPr="000A7FD1" w14:paraId="0CE370A6" w14:textId="77777777" w:rsidTr="003B3190">
        <w:trPr>
          <w:cantSplit/>
          <w:trHeight w:val="790"/>
        </w:trPr>
        <w:tc>
          <w:tcPr>
            <w:tcW w:w="1635" w:type="dxa"/>
            <w:vMerge/>
            <w:tcBorders>
              <w:top w:val="single" w:sz="8" w:space="0" w:color="000000"/>
              <w:left w:val="single" w:sz="12" w:space="0" w:color="auto"/>
              <w:bottom w:val="single" w:sz="8" w:space="0" w:color="auto"/>
              <w:right w:val="nil"/>
            </w:tcBorders>
            <w:vAlign w:val="center"/>
            <w:hideMark/>
          </w:tcPr>
          <w:p w14:paraId="4316C858" w14:textId="77777777" w:rsidR="008D06F2" w:rsidRPr="000A7FD1" w:rsidRDefault="008D06F2" w:rsidP="008D06F2">
            <w:pPr>
              <w:widowControl/>
              <w:adjustRightInd/>
              <w:spacing w:before="0" w:after="0"/>
              <w:textAlignment w:val="auto"/>
              <w:rPr>
                <w:rFonts w:cs="Arial"/>
                <w:color w:val="000000"/>
                <w:sz w:val="20"/>
                <w:szCs w:val="20"/>
              </w:rPr>
            </w:pPr>
          </w:p>
        </w:tc>
        <w:tc>
          <w:tcPr>
            <w:tcW w:w="2563" w:type="dxa"/>
            <w:vMerge/>
            <w:tcBorders>
              <w:top w:val="nil"/>
              <w:left w:val="single" w:sz="4" w:space="0" w:color="auto"/>
              <w:bottom w:val="single" w:sz="4" w:space="0" w:color="000000"/>
              <w:right w:val="single" w:sz="4" w:space="0" w:color="auto"/>
            </w:tcBorders>
            <w:vAlign w:val="center"/>
            <w:hideMark/>
          </w:tcPr>
          <w:p w14:paraId="5C10B601" w14:textId="77777777" w:rsidR="008D06F2" w:rsidRPr="000A7FD1" w:rsidRDefault="008D06F2" w:rsidP="008D06F2">
            <w:pPr>
              <w:widowControl/>
              <w:adjustRightInd/>
              <w:spacing w:before="0" w:after="0"/>
              <w:textAlignment w:val="auto"/>
              <w:rPr>
                <w:rFonts w:cs="Arial"/>
                <w:color w:val="000000"/>
                <w:sz w:val="20"/>
                <w:szCs w:val="20"/>
              </w:rPr>
            </w:pPr>
          </w:p>
        </w:tc>
        <w:tc>
          <w:tcPr>
            <w:tcW w:w="1572" w:type="dxa"/>
            <w:tcBorders>
              <w:top w:val="nil"/>
              <w:left w:val="nil"/>
              <w:bottom w:val="single" w:sz="4" w:space="0" w:color="auto"/>
              <w:right w:val="single" w:sz="8" w:space="0" w:color="auto"/>
            </w:tcBorders>
            <w:shd w:val="clear" w:color="auto" w:fill="auto"/>
            <w:hideMark/>
          </w:tcPr>
          <w:p w14:paraId="08232819"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986" w:type="dxa"/>
            <w:tcBorders>
              <w:top w:val="nil"/>
              <w:left w:val="nil"/>
              <w:bottom w:val="single" w:sz="4" w:space="0" w:color="auto"/>
              <w:right w:val="single" w:sz="4" w:space="0" w:color="auto"/>
            </w:tcBorders>
            <w:shd w:val="clear" w:color="auto" w:fill="auto"/>
            <w:hideMark/>
          </w:tcPr>
          <w:p w14:paraId="47C5F17E" w14:textId="77777777" w:rsidR="008D06F2" w:rsidRPr="000A7FD1" w:rsidRDefault="008D06F2" w:rsidP="008D06F2">
            <w:pPr>
              <w:widowControl/>
              <w:adjustRightInd/>
              <w:spacing w:before="0" w:after="0"/>
              <w:textAlignment w:val="auto"/>
              <w:rPr>
                <w:rFonts w:cs="Arial"/>
                <w:sz w:val="20"/>
                <w:szCs w:val="20"/>
              </w:rPr>
            </w:pPr>
            <w:r w:rsidRPr="000A7FD1">
              <w:rPr>
                <w:rFonts w:cs="Arial"/>
                <w:sz w:val="20"/>
                <w:szCs w:val="20"/>
              </w:rPr>
              <w:t> </w:t>
            </w:r>
          </w:p>
        </w:tc>
        <w:tc>
          <w:tcPr>
            <w:tcW w:w="1456" w:type="dxa"/>
            <w:tcBorders>
              <w:top w:val="nil"/>
              <w:left w:val="nil"/>
              <w:bottom w:val="single" w:sz="4" w:space="0" w:color="auto"/>
              <w:right w:val="single" w:sz="4" w:space="0" w:color="auto"/>
            </w:tcBorders>
            <w:shd w:val="clear" w:color="auto" w:fill="auto"/>
            <w:noWrap/>
            <w:hideMark/>
          </w:tcPr>
          <w:p w14:paraId="0FCE4146"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768" w:type="dxa"/>
            <w:tcBorders>
              <w:top w:val="nil"/>
              <w:left w:val="nil"/>
              <w:bottom w:val="single" w:sz="4" w:space="0" w:color="auto"/>
              <w:right w:val="single" w:sz="12" w:space="0" w:color="auto"/>
            </w:tcBorders>
            <w:shd w:val="clear" w:color="auto" w:fill="auto"/>
            <w:hideMark/>
          </w:tcPr>
          <w:p w14:paraId="76AACD61"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814" w:type="dxa"/>
            <w:tcBorders>
              <w:top w:val="nil"/>
              <w:left w:val="single" w:sz="12" w:space="0" w:color="auto"/>
              <w:bottom w:val="single" w:sz="4" w:space="0" w:color="auto"/>
              <w:right w:val="single" w:sz="8" w:space="0" w:color="auto"/>
            </w:tcBorders>
            <w:shd w:val="clear" w:color="auto" w:fill="auto"/>
            <w:noWrap/>
            <w:hideMark/>
          </w:tcPr>
          <w:p w14:paraId="1195EFDD"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793" w:type="dxa"/>
            <w:tcBorders>
              <w:top w:val="nil"/>
              <w:left w:val="nil"/>
              <w:bottom w:val="single" w:sz="4" w:space="0" w:color="auto"/>
              <w:right w:val="single" w:sz="12" w:space="0" w:color="auto"/>
            </w:tcBorders>
            <w:shd w:val="clear" w:color="auto" w:fill="auto"/>
            <w:noWrap/>
            <w:hideMark/>
          </w:tcPr>
          <w:p w14:paraId="401F9ADF"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2077" w:type="dxa"/>
            <w:tcBorders>
              <w:top w:val="nil"/>
              <w:left w:val="nil"/>
              <w:bottom w:val="single" w:sz="4" w:space="0" w:color="auto"/>
              <w:right w:val="single" w:sz="4" w:space="0" w:color="auto"/>
            </w:tcBorders>
            <w:shd w:val="clear" w:color="auto" w:fill="auto"/>
            <w:hideMark/>
          </w:tcPr>
          <w:p w14:paraId="17852F96"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976" w:type="dxa"/>
            <w:tcBorders>
              <w:top w:val="nil"/>
              <w:left w:val="nil"/>
              <w:bottom w:val="single" w:sz="4" w:space="0" w:color="auto"/>
              <w:right w:val="single" w:sz="12" w:space="0" w:color="auto"/>
            </w:tcBorders>
            <w:shd w:val="clear" w:color="auto" w:fill="auto"/>
            <w:hideMark/>
          </w:tcPr>
          <w:p w14:paraId="6B7F4769"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r>
      <w:tr w:rsidR="008D06F2" w:rsidRPr="000A7FD1" w14:paraId="2E968616" w14:textId="77777777" w:rsidTr="003B3190">
        <w:trPr>
          <w:cantSplit/>
          <w:trHeight w:val="790"/>
        </w:trPr>
        <w:tc>
          <w:tcPr>
            <w:tcW w:w="1635" w:type="dxa"/>
            <w:vMerge/>
            <w:tcBorders>
              <w:top w:val="single" w:sz="8" w:space="0" w:color="000000"/>
              <w:left w:val="single" w:sz="12" w:space="0" w:color="auto"/>
              <w:bottom w:val="single" w:sz="8" w:space="0" w:color="auto"/>
              <w:right w:val="nil"/>
            </w:tcBorders>
            <w:vAlign w:val="center"/>
            <w:hideMark/>
          </w:tcPr>
          <w:p w14:paraId="0C653A31" w14:textId="77777777" w:rsidR="008D06F2" w:rsidRPr="000A7FD1" w:rsidRDefault="008D06F2" w:rsidP="008D06F2">
            <w:pPr>
              <w:widowControl/>
              <w:adjustRightInd/>
              <w:spacing w:before="0" w:after="0"/>
              <w:textAlignment w:val="auto"/>
              <w:rPr>
                <w:rFonts w:cs="Arial"/>
                <w:color w:val="000000"/>
                <w:sz w:val="20"/>
                <w:szCs w:val="20"/>
              </w:rPr>
            </w:pPr>
          </w:p>
        </w:tc>
        <w:tc>
          <w:tcPr>
            <w:tcW w:w="2563" w:type="dxa"/>
            <w:vMerge/>
            <w:tcBorders>
              <w:top w:val="nil"/>
              <w:left w:val="single" w:sz="4" w:space="0" w:color="auto"/>
              <w:bottom w:val="single" w:sz="8" w:space="0" w:color="auto"/>
              <w:right w:val="single" w:sz="4" w:space="0" w:color="auto"/>
            </w:tcBorders>
            <w:vAlign w:val="center"/>
            <w:hideMark/>
          </w:tcPr>
          <w:p w14:paraId="227631E2" w14:textId="77777777" w:rsidR="008D06F2" w:rsidRPr="000A7FD1" w:rsidRDefault="008D06F2" w:rsidP="008D06F2">
            <w:pPr>
              <w:widowControl/>
              <w:adjustRightInd/>
              <w:spacing w:before="0" w:after="0"/>
              <w:textAlignment w:val="auto"/>
              <w:rPr>
                <w:rFonts w:cs="Arial"/>
                <w:color w:val="000000"/>
                <w:sz w:val="20"/>
                <w:szCs w:val="20"/>
              </w:rPr>
            </w:pPr>
          </w:p>
        </w:tc>
        <w:tc>
          <w:tcPr>
            <w:tcW w:w="1572" w:type="dxa"/>
            <w:tcBorders>
              <w:top w:val="single" w:sz="4" w:space="0" w:color="auto"/>
              <w:left w:val="nil"/>
              <w:bottom w:val="single" w:sz="8" w:space="0" w:color="auto"/>
              <w:right w:val="single" w:sz="8" w:space="0" w:color="auto"/>
            </w:tcBorders>
            <w:shd w:val="clear" w:color="auto" w:fill="auto"/>
            <w:hideMark/>
          </w:tcPr>
          <w:p w14:paraId="2B647AE7" w14:textId="77777777" w:rsidR="008D06F2" w:rsidRPr="000A7FD1"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rPr>
              <w:t> </w:t>
            </w:r>
          </w:p>
        </w:tc>
        <w:tc>
          <w:tcPr>
            <w:tcW w:w="1986" w:type="dxa"/>
            <w:tcBorders>
              <w:top w:val="single" w:sz="4" w:space="0" w:color="auto"/>
              <w:left w:val="nil"/>
              <w:bottom w:val="single" w:sz="8" w:space="0" w:color="auto"/>
              <w:right w:val="single" w:sz="4" w:space="0" w:color="auto"/>
            </w:tcBorders>
            <w:shd w:val="clear" w:color="auto" w:fill="auto"/>
            <w:hideMark/>
          </w:tcPr>
          <w:p w14:paraId="48CBB48D" w14:textId="77777777" w:rsidR="008D06F2" w:rsidRPr="000A7FD1" w:rsidRDefault="008D06F2" w:rsidP="008D06F2">
            <w:pPr>
              <w:widowControl/>
              <w:adjustRightInd/>
              <w:spacing w:before="0" w:after="0"/>
              <w:textAlignment w:val="auto"/>
              <w:rPr>
                <w:rFonts w:cs="Arial"/>
                <w:sz w:val="20"/>
                <w:szCs w:val="20"/>
              </w:rPr>
            </w:pPr>
            <w:r w:rsidRPr="000A7FD1">
              <w:rPr>
                <w:rFonts w:cs="Arial"/>
                <w:sz w:val="20"/>
                <w:szCs w:val="20"/>
              </w:rPr>
              <w:t> </w:t>
            </w:r>
          </w:p>
        </w:tc>
        <w:tc>
          <w:tcPr>
            <w:tcW w:w="1456" w:type="dxa"/>
            <w:tcBorders>
              <w:top w:val="single" w:sz="4" w:space="0" w:color="auto"/>
              <w:left w:val="nil"/>
              <w:bottom w:val="single" w:sz="8" w:space="0" w:color="auto"/>
              <w:right w:val="single" w:sz="4" w:space="0" w:color="auto"/>
            </w:tcBorders>
            <w:shd w:val="clear" w:color="auto" w:fill="auto"/>
            <w:noWrap/>
            <w:hideMark/>
          </w:tcPr>
          <w:p w14:paraId="49DA6DBF"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768" w:type="dxa"/>
            <w:tcBorders>
              <w:top w:val="single" w:sz="4" w:space="0" w:color="auto"/>
              <w:left w:val="nil"/>
              <w:bottom w:val="single" w:sz="8" w:space="0" w:color="auto"/>
              <w:right w:val="single" w:sz="12" w:space="0" w:color="auto"/>
            </w:tcBorders>
            <w:shd w:val="clear" w:color="auto" w:fill="auto"/>
            <w:hideMark/>
          </w:tcPr>
          <w:p w14:paraId="5BB12123"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814" w:type="dxa"/>
            <w:tcBorders>
              <w:top w:val="single" w:sz="4" w:space="0" w:color="auto"/>
              <w:left w:val="single" w:sz="12" w:space="0" w:color="auto"/>
              <w:bottom w:val="single" w:sz="8" w:space="0" w:color="auto"/>
              <w:right w:val="single" w:sz="8" w:space="0" w:color="auto"/>
            </w:tcBorders>
            <w:shd w:val="clear" w:color="auto" w:fill="auto"/>
            <w:noWrap/>
            <w:hideMark/>
          </w:tcPr>
          <w:p w14:paraId="35511302"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1793" w:type="dxa"/>
            <w:tcBorders>
              <w:top w:val="single" w:sz="4" w:space="0" w:color="auto"/>
              <w:left w:val="nil"/>
              <w:bottom w:val="single" w:sz="8" w:space="0" w:color="auto"/>
              <w:right w:val="single" w:sz="12" w:space="0" w:color="auto"/>
            </w:tcBorders>
            <w:shd w:val="clear" w:color="auto" w:fill="auto"/>
            <w:noWrap/>
            <w:hideMark/>
          </w:tcPr>
          <w:p w14:paraId="0252FEA9"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2077" w:type="dxa"/>
            <w:tcBorders>
              <w:top w:val="single" w:sz="4" w:space="0" w:color="auto"/>
              <w:left w:val="nil"/>
              <w:bottom w:val="single" w:sz="8" w:space="0" w:color="auto"/>
              <w:right w:val="single" w:sz="4" w:space="0" w:color="auto"/>
            </w:tcBorders>
            <w:shd w:val="clear" w:color="auto" w:fill="auto"/>
            <w:hideMark/>
          </w:tcPr>
          <w:p w14:paraId="45003F15"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c>
          <w:tcPr>
            <w:tcW w:w="976" w:type="dxa"/>
            <w:tcBorders>
              <w:top w:val="single" w:sz="4" w:space="0" w:color="auto"/>
              <w:left w:val="nil"/>
              <w:bottom w:val="single" w:sz="8" w:space="0" w:color="auto"/>
              <w:right w:val="single" w:sz="12" w:space="0" w:color="auto"/>
            </w:tcBorders>
            <w:shd w:val="clear" w:color="auto" w:fill="auto"/>
            <w:hideMark/>
          </w:tcPr>
          <w:p w14:paraId="3580F07C" w14:textId="77777777" w:rsidR="008D06F2" w:rsidRPr="000A7FD1" w:rsidRDefault="008D06F2" w:rsidP="008D06F2">
            <w:pPr>
              <w:widowControl/>
              <w:adjustRightInd/>
              <w:spacing w:before="0" w:after="0"/>
              <w:jc w:val="center"/>
              <w:textAlignment w:val="auto"/>
              <w:rPr>
                <w:rFonts w:cs="Arial"/>
                <w:sz w:val="20"/>
                <w:szCs w:val="20"/>
              </w:rPr>
            </w:pPr>
            <w:r w:rsidRPr="000A7FD1">
              <w:rPr>
                <w:rFonts w:cs="Arial"/>
                <w:sz w:val="20"/>
                <w:szCs w:val="20"/>
              </w:rPr>
              <w:t> </w:t>
            </w:r>
          </w:p>
        </w:tc>
      </w:tr>
      <w:tr w:rsidR="008D06F2" w:rsidRPr="00C77E26" w14:paraId="725FBE60" w14:textId="77777777" w:rsidTr="003B3190">
        <w:trPr>
          <w:cantSplit/>
          <w:trHeight w:val="1200"/>
        </w:trPr>
        <w:tc>
          <w:tcPr>
            <w:tcW w:w="1635" w:type="dxa"/>
            <w:vMerge/>
            <w:tcBorders>
              <w:top w:val="single" w:sz="8" w:space="0" w:color="000000"/>
              <w:left w:val="single" w:sz="12" w:space="0" w:color="auto"/>
              <w:bottom w:val="single" w:sz="8" w:space="0" w:color="auto"/>
              <w:right w:val="nil"/>
            </w:tcBorders>
            <w:vAlign w:val="center"/>
            <w:hideMark/>
          </w:tcPr>
          <w:p w14:paraId="5FA2C6F1" w14:textId="77777777" w:rsidR="008D06F2" w:rsidRPr="000A7FD1" w:rsidRDefault="008D06F2" w:rsidP="008D06F2">
            <w:pPr>
              <w:widowControl/>
              <w:adjustRightInd/>
              <w:spacing w:before="0" w:after="0"/>
              <w:textAlignment w:val="auto"/>
              <w:rPr>
                <w:rFonts w:cs="Arial"/>
                <w:color w:val="000000"/>
                <w:sz w:val="20"/>
                <w:szCs w:val="20"/>
              </w:rPr>
            </w:pPr>
          </w:p>
        </w:tc>
        <w:tc>
          <w:tcPr>
            <w:tcW w:w="2563" w:type="dxa"/>
            <w:vMerge w:val="restart"/>
            <w:tcBorders>
              <w:top w:val="single" w:sz="8" w:space="0" w:color="auto"/>
              <w:left w:val="single" w:sz="4" w:space="0" w:color="auto"/>
              <w:bottom w:val="single" w:sz="8" w:space="0" w:color="000000"/>
              <w:right w:val="nil"/>
            </w:tcBorders>
            <w:shd w:val="clear" w:color="auto" w:fill="auto"/>
            <w:hideMark/>
          </w:tcPr>
          <w:p w14:paraId="02B6FA4D" w14:textId="6BC6DC2E" w:rsidR="008D06F2" w:rsidRPr="00C77E26" w:rsidRDefault="008D06F2" w:rsidP="008D06F2">
            <w:pPr>
              <w:widowControl/>
              <w:adjustRightInd/>
              <w:spacing w:before="0" w:after="0"/>
              <w:textAlignment w:val="auto"/>
              <w:rPr>
                <w:rFonts w:cs="Arial"/>
                <w:color w:val="000000"/>
                <w:sz w:val="20"/>
                <w:szCs w:val="20"/>
              </w:rPr>
            </w:pPr>
            <w:r w:rsidRPr="000A7FD1">
              <w:rPr>
                <w:rFonts w:cs="Arial"/>
                <w:color w:val="000000"/>
                <w:sz w:val="20"/>
                <w:szCs w:val="20"/>
                <w:u w:val="single"/>
              </w:rPr>
              <w:t>Disclosure</w:t>
            </w:r>
            <w:r w:rsidRPr="000A7FD1">
              <w:rPr>
                <w:rFonts w:cs="Arial"/>
                <w:color w:val="000000"/>
                <w:sz w:val="20"/>
                <w:szCs w:val="20"/>
              </w:rPr>
              <w:t>:</w:t>
            </w:r>
            <w:r w:rsidRPr="000A7FD1">
              <w:rPr>
                <w:rFonts w:cs="Arial"/>
                <w:color w:val="000000"/>
                <w:sz w:val="20"/>
                <w:szCs w:val="20"/>
              </w:rPr>
              <w:br/>
              <w:t>17. Note disclosures are not appropriately measured or described or are not relevant and understandable in the context of the requirements</w:t>
            </w:r>
            <w:r w:rsidR="00520277" w:rsidRPr="000A7FD1">
              <w:rPr>
                <w:rFonts w:cs="Arial"/>
                <w:color w:val="000000"/>
                <w:sz w:val="20"/>
                <w:szCs w:val="20"/>
              </w:rPr>
              <w:t xml:space="preserve"> </w:t>
            </w:r>
            <w:r w:rsidRPr="000A7FD1">
              <w:rPr>
                <w:rFonts w:cs="Arial"/>
                <w:color w:val="000000"/>
                <w:sz w:val="20"/>
                <w:szCs w:val="20"/>
              </w:rPr>
              <w:t>of U.S. GAAP. Not all note</w:t>
            </w:r>
            <w:r w:rsidRPr="000A7FD1">
              <w:rPr>
                <w:rFonts w:cs="Arial"/>
                <w:color w:val="000000"/>
                <w:sz w:val="20"/>
                <w:szCs w:val="20"/>
              </w:rPr>
              <w:br/>
              <w:t>disclosures that should have been included in the financial statements have been included. Disclosed transactions and events did not actually occur or pertain to the entity.</w:t>
            </w:r>
          </w:p>
        </w:tc>
        <w:tc>
          <w:tcPr>
            <w:tcW w:w="1572" w:type="dxa"/>
            <w:tcBorders>
              <w:top w:val="single" w:sz="8" w:space="0" w:color="auto"/>
              <w:left w:val="single" w:sz="4" w:space="0" w:color="auto"/>
              <w:bottom w:val="nil"/>
              <w:right w:val="single" w:sz="8" w:space="0" w:color="auto"/>
            </w:tcBorders>
            <w:shd w:val="clear" w:color="auto" w:fill="auto"/>
            <w:hideMark/>
          </w:tcPr>
          <w:p w14:paraId="40ACFAEB" w14:textId="77777777" w:rsidR="008D06F2" w:rsidRPr="00C77E26" w:rsidRDefault="008D06F2" w:rsidP="008D06F2">
            <w:pPr>
              <w:widowControl/>
              <w:adjustRightInd/>
              <w:spacing w:before="0" w:after="0"/>
              <w:textAlignment w:val="auto"/>
              <w:rPr>
                <w:rFonts w:cs="Arial"/>
                <w:color w:val="000000"/>
                <w:sz w:val="20"/>
                <w:szCs w:val="20"/>
              </w:rPr>
            </w:pPr>
            <w:r w:rsidRPr="00C77E26">
              <w:rPr>
                <w:rFonts w:cs="Arial"/>
                <w:color w:val="000000"/>
                <w:sz w:val="20"/>
                <w:szCs w:val="20"/>
              </w:rPr>
              <w:t> </w:t>
            </w:r>
          </w:p>
        </w:tc>
        <w:tc>
          <w:tcPr>
            <w:tcW w:w="1986" w:type="dxa"/>
            <w:tcBorders>
              <w:top w:val="single" w:sz="8" w:space="0" w:color="auto"/>
              <w:left w:val="nil"/>
              <w:bottom w:val="nil"/>
              <w:right w:val="single" w:sz="4" w:space="0" w:color="auto"/>
            </w:tcBorders>
            <w:shd w:val="clear" w:color="auto" w:fill="auto"/>
            <w:hideMark/>
          </w:tcPr>
          <w:p w14:paraId="4722E3E3" w14:textId="77777777" w:rsidR="008D06F2" w:rsidRPr="00C77E26" w:rsidRDefault="008D06F2" w:rsidP="008D06F2">
            <w:pPr>
              <w:widowControl/>
              <w:adjustRightInd/>
              <w:spacing w:before="0" w:after="0"/>
              <w:textAlignment w:val="auto"/>
              <w:rPr>
                <w:rFonts w:cs="Arial"/>
                <w:sz w:val="20"/>
                <w:szCs w:val="20"/>
              </w:rPr>
            </w:pPr>
            <w:r w:rsidRPr="00C77E26">
              <w:rPr>
                <w:rFonts w:cs="Arial"/>
                <w:sz w:val="20"/>
                <w:szCs w:val="20"/>
              </w:rPr>
              <w:t> </w:t>
            </w:r>
          </w:p>
        </w:tc>
        <w:tc>
          <w:tcPr>
            <w:tcW w:w="1456" w:type="dxa"/>
            <w:tcBorders>
              <w:top w:val="single" w:sz="8" w:space="0" w:color="auto"/>
              <w:left w:val="nil"/>
              <w:bottom w:val="nil"/>
              <w:right w:val="single" w:sz="4" w:space="0" w:color="auto"/>
            </w:tcBorders>
            <w:shd w:val="clear" w:color="auto" w:fill="auto"/>
            <w:noWrap/>
            <w:hideMark/>
          </w:tcPr>
          <w:p w14:paraId="208D5621" w14:textId="77777777" w:rsidR="008D06F2" w:rsidRPr="00C77E26" w:rsidRDefault="008D06F2" w:rsidP="008D06F2">
            <w:pPr>
              <w:widowControl/>
              <w:adjustRightInd/>
              <w:spacing w:before="0" w:after="0"/>
              <w:jc w:val="center"/>
              <w:textAlignment w:val="auto"/>
              <w:rPr>
                <w:rFonts w:cs="Arial"/>
                <w:sz w:val="20"/>
                <w:szCs w:val="20"/>
              </w:rPr>
            </w:pPr>
            <w:r w:rsidRPr="00C77E26">
              <w:rPr>
                <w:rFonts w:cs="Arial"/>
                <w:sz w:val="20"/>
                <w:szCs w:val="20"/>
              </w:rPr>
              <w:t> </w:t>
            </w:r>
          </w:p>
        </w:tc>
        <w:tc>
          <w:tcPr>
            <w:tcW w:w="1768" w:type="dxa"/>
            <w:tcBorders>
              <w:top w:val="single" w:sz="8" w:space="0" w:color="auto"/>
              <w:left w:val="nil"/>
              <w:bottom w:val="nil"/>
              <w:right w:val="single" w:sz="12" w:space="0" w:color="auto"/>
            </w:tcBorders>
            <w:shd w:val="clear" w:color="auto" w:fill="auto"/>
            <w:hideMark/>
          </w:tcPr>
          <w:p w14:paraId="692E0195" w14:textId="77777777" w:rsidR="008D06F2" w:rsidRPr="00C77E26" w:rsidRDefault="008D06F2" w:rsidP="008D06F2">
            <w:pPr>
              <w:widowControl/>
              <w:adjustRightInd/>
              <w:spacing w:before="0" w:after="0"/>
              <w:jc w:val="center"/>
              <w:textAlignment w:val="auto"/>
              <w:rPr>
                <w:rFonts w:cs="Arial"/>
                <w:sz w:val="20"/>
                <w:szCs w:val="20"/>
              </w:rPr>
            </w:pPr>
            <w:r w:rsidRPr="00C77E26">
              <w:rPr>
                <w:rFonts w:cs="Arial"/>
                <w:sz w:val="20"/>
                <w:szCs w:val="20"/>
              </w:rPr>
              <w:t> </w:t>
            </w:r>
          </w:p>
        </w:tc>
        <w:tc>
          <w:tcPr>
            <w:tcW w:w="1814" w:type="dxa"/>
            <w:tcBorders>
              <w:top w:val="single" w:sz="8" w:space="0" w:color="auto"/>
              <w:left w:val="single" w:sz="12" w:space="0" w:color="auto"/>
              <w:bottom w:val="single" w:sz="4" w:space="0" w:color="auto"/>
              <w:right w:val="single" w:sz="8" w:space="0" w:color="auto"/>
            </w:tcBorders>
            <w:shd w:val="clear" w:color="auto" w:fill="auto"/>
            <w:hideMark/>
          </w:tcPr>
          <w:p w14:paraId="24FFA9EA" w14:textId="77777777" w:rsidR="008D06F2" w:rsidRPr="00C77E26" w:rsidRDefault="008D06F2" w:rsidP="008D06F2">
            <w:pPr>
              <w:widowControl/>
              <w:adjustRightInd/>
              <w:spacing w:before="0" w:after="0"/>
              <w:jc w:val="center"/>
              <w:textAlignment w:val="auto"/>
              <w:rPr>
                <w:rFonts w:cs="Arial"/>
                <w:sz w:val="20"/>
                <w:szCs w:val="20"/>
              </w:rPr>
            </w:pPr>
            <w:r w:rsidRPr="00C77E26">
              <w:rPr>
                <w:rFonts w:cs="Arial"/>
                <w:sz w:val="20"/>
                <w:szCs w:val="20"/>
              </w:rPr>
              <w:t> </w:t>
            </w:r>
          </w:p>
        </w:tc>
        <w:tc>
          <w:tcPr>
            <w:tcW w:w="1793" w:type="dxa"/>
            <w:tcBorders>
              <w:top w:val="single" w:sz="8" w:space="0" w:color="auto"/>
              <w:left w:val="nil"/>
              <w:bottom w:val="nil"/>
              <w:right w:val="single" w:sz="12" w:space="0" w:color="auto"/>
            </w:tcBorders>
            <w:shd w:val="clear" w:color="auto" w:fill="auto"/>
            <w:hideMark/>
          </w:tcPr>
          <w:p w14:paraId="7F26485A" w14:textId="77777777" w:rsidR="008D06F2" w:rsidRPr="00C77E26" w:rsidRDefault="008D06F2" w:rsidP="008D06F2">
            <w:pPr>
              <w:widowControl/>
              <w:adjustRightInd/>
              <w:spacing w:before="0" w:after="0"/>
              <w:jc w:val="center"/>
              <w:textAlignment w:val="auto"/>
              <w:rPr>
                <w:rFonts w:cs="Arial"/>
                <w:sz w:val="20"/>
                <w:szCs w:val="20"/>
              </w:rPr>
            </w:pPr>
            <w:r w:rsidRPr="00C77E26">
              <w:rPr>
                <w:rFonts w:cs="Arial"/>
                <w:sz w:val="20"/>
                <w:szCs w:val="20"/>
              </w:rPr>
              <w:t> </w:t>
            </w:r>
          </w:p>
        </w:tc>
        <w:tc>
          <w:tcPr>
            <w:tcW w:w="2077" w:type="dxa"/>
            <w:tcBorders>
              <w:top w:val="single" w:sz="8" w:space="0" w:color="auto"/>
              <w:left w:val="nil"/>
              <w:bottom w:val="nil"/>
              <w:right w:val="single" w:sz="4" w:space="0" w:color="auto"/>
            </w:tcBorders>
            <w:shd w:val="clear" w:color="auto" w:fill="auto"/>
            <w:hideMark/>
          </w:tcPr>
          <w:p w14:paraId="7AB2966F" w14:textId="77777777" w:rsidR="008D06F2" w:rsidRPr="00C77E26" w:rsidRDefault="008D06F2" w:rsidP="008D06F2">
            <w:pPr>
              <w:widowControl/>
              <w:adjustRightInd/>
              <w:spacing w:before="0" w:after="0"/>
              <w:textAlignment w:val="auto"/>
              <w:rPr>
                <w:rFonts w:cs="Arial"/>
                <w:sz w:val="20"/>
                <w:szCs w:val="20"/>
              </w:rPr>
            </w:pPr>
            <w:r w:rsidRPr="00C77E26">
              <w:rPr>
                <w:rFonts w:cs="Arial"/>
                <w:sz w:val="20"/>
                <w:szCs w:val="20"/>
              </w:rPr>
              <w:t> </w:t>
            </w:r>
          </w:p>
        </w:tc>
        <w:tc>
          <w:tcPr>
            <w:tcW w:w="976" w:type="dxa"/>
            <w:tcBorders>
              <w:top w:val="single" w:sz="8" w:space="0" w:color="auto"/>
              <w:left w:val="nil"/>
              <w:bottom w:val="nil"/>
              <w:right w:val="single" w:sz="12" w:space="0" w:color="auto"/>
            </w:tcBorders>
            <w:shd w:val="clear" w:color="auto" w:fill="auto"/>
            <w:hideMark/>
          </w:tcPr>
          <w:p w14:paraId="30421656" w14:textId="77777777" w:rsidR="008D06F2" w:rsidRPr="00C77E26" w:rsidRDefault="008D06F2" w:rsidP="008D06F2">
            <w:pPr>
              <w:widowControl/>
              <w:adjustRightInd/>
              <w:spacing w:before="0" w:after="0"/>
              <w:textAlignment w:val="auto"/>
              <w:rPr>
                <w:rFonts w:cs="Arial"/>
                <w:color w:val="000000"/>
                <w:sz w:val="20"/>
                <w:szCs w:val="20"/>
              </w:rPr>
            </w:pPr>
            <w:r w:rsidRPr="00C77E26">
              <w:rPr>
                <w:rFonts w:cs="Arial"/>
                <w:color w:val="000000"/>
                <w:sz w:val="20"/>
                <w:szCs w:val="20"/>
              </w:rPr>
              <w:t> </w:t>
            </w:r>
          </w:p>
        </w:tc>
      </w:tr>
      <w:tr w:rsidR="008D06F2" w:rsidRPr="00C77E26" w14:paraId="4B6CDD8C" w14:textId="77777777" w:rsidTr="003B3190">
        <w:trPr>
          <w:cantSplit/>
          <w:trHeight w:val="1170"/>
        </w:trPr>
        <w:tc>
          <w:tcPr>
            <w:tcW w:w="1635" w:type="dxa"/>
            <w:vMerge/>
            <w:tcBorders>
              <w:top w:val="single" w:sz="8" w:space="0" w:color="000000"/>
              <w:left w:val="single" w:sz="12" w:space="0" w:color="auto"/>
              <w:bottom w:val="single" w:sz="8" w:space="0" w:color="auto"/>
              <w:right w:val="nil"/>
            </w:tcBorders>
            <w:vAlign w:val="center"/>
            <w:hideMark/>
          </w:tcPr>
          <w:p w14:paraId="5E17609C" w14:textId="77777777" w:rsidR="008D06F2" w:rsidRPr="00C77E26" w:rsidRDefault="008D06F2" w:rsidP="008D06F2">
            <w:pPr>
              <w:widowControl/>
              <w:adjustRightInd/>
              <w:spacing w:before="0" w:after="0"/>
              <w:textAlignment w:val="auto"/>
              <w:rPr>
                <w:rFonts w:cs="Arial"/>
                <w:color w:val="000000"/>
                <w:sz w:val="20"/>
                <w:szCs w:val="20"/>
              </w:rPr>
            </w:pPr>
          </w:p>
        </w:tc>
        <w:tc>
          <w:tcPr>
            <w:tcW w:w="2563" w:type="dxa"/>
            <w:vMerge/>
            <w:tcBorders>
              <w:top w:val="single" w:sz="8" w:space="0" w:color="000000"/>
              <w:left w:val="single" w:sz="4" w:space="0" w:color="auto"/>
              <w:bottom w:val="single" w:sz="8" w:space="0" w:color="000000"/>
              <w:right w:val="nil"/>
            </w:tcBorders>
            <w:vAlign w:val="center"/>
            <w:hideMark/>
          </w:tcPr>
          <w:p w14:paraId="41E224B4" w14:textId="77777777" w:rsidR="008D06F2" w:rsidRPr="00C77E26" w:rsidRDefault="008D06F2" w:rsidP="008D06F2">
            <w:pPr>
              <w:widowControl/>
              <w:adjustRightInd/>
              <w:spacing w:before="0" w:after="0"/>
              <w:textAlignment w:val="auto"/>
              <w:rPr>
                <w:rFonts w:cs="Arial"/>
                <w:color w:val="000000"/>
                <w:sz w:val="20"/>
                <w:szCs w:val="20"/>
              </w:rPr>
            </w:pPr>
          </w:p>
        </w:tc>
        <w:tc>
          <w:tcPr>
            <w:tcW w:w="1572" w:type="dxa"/>
            <w:tcBorders>
              <w:top w:val="single" w:sz="4" w:space="0" w:color="auto"/>
              <w:left w:val="single" w:sz="4" w:space="0" w:color="auto"/>
              <w:bottom w:val="single" w:sz="8" w:space="0" w:color="auto"/>
              <w:right w:val="nil"/>
            </w:tcBorders>
            <w:shd w:val="clear" w:color="auto" w:fill="auto"/>
            <w:hideMark/>
          </w:tcPr>
          <w:p w14:paraId="1BA6D3AD" w14:textId="77777777" w:rsidR="008D06F2" w:rsidRPr="00C77E26" w:rsidRDefault="008D06F2" w:rsidP="008D06F2">
            <w:pPr>
              <w:widowControl/>
              <w:adjustRightInd/>
              <w:spacing w:before="0" w:after="0"/>
              <w:textAlignment w:val="auto"/>
              <w:rPr>
                <w:rFonts w:cs="Arial"/>
                <w:color w:val="000000"/>
                <w:sz w:val="20"/>
                <w:szCs w:val="20"/>
              </w:rPr>
            </w:pPr>
            <w:r w:rsidRPr="00C77E26">
              <w:rPr>
                <w:rFonts w:cs="Arial"/>
                <w:color w:val="000000"/>
                <w:sz w:val="20"/>
                <w:szCs w:val="20"/>
              </w:rPr>
              <w:t> </w:t>
            </w:r>
          </w:p>
        </w:tc>
        <w:tc>
          <w:tcPr>
            <w:tcW w:w="1986" w:type="dxa"/>
            <w:tcBorders>
              <w:top w:val="single" w:sz="4" w:space="0" w:color="auto"/>
              <w:left w:val="single" w:sz="8" w:space="0" w:color="auto"/>
              <w:bottom w:val="single" w:sz="8" w:space="0" w:color="auto"/>
              <w:right w:val="single" w:sz="4" w:space="0" w:color="auto"/>
            </w:tcBorders>
            <w:shd w:val="clear" w:color="auto" w:fill="auto"/>
            <w:hideMark/>
          </w:tcPr>
          <w:p w14:paraId="6A1355DB" w14:textId="77777777" w:rsidR="008D06F2" w:rsidRPr="00C77E26" w:rsidRDefault="008D06F2" w:rsidP="008D06F2">
            <w:pPr>
              <w:widowControl/>
              <w:adjustRightInd/>
              <w:spacing w:before="0" w:after="0"/>
              <w:textAlignment w:val="auto"/>
              <w:rPr>
                <w:rFonts w:cs="Arial"/>
                <w:sz w:val="20"/>
                <w:szCs w:val="20"/>
              </w:rPr>
            </w:pPr>
            <w:r w:rsidRPr="00C77E26">
              <w:rPr>
                <w:rFonts w:cs="Arial"/>
                <w:sz w:val="20"/>
                <w:szCs w:val="20"/>
              </w:rPr>
              <w:t> </w:t>
            </w:r>
          </w:p>
        </w:tc>
        <w:tc>
          <w:tcPr>
            <w:tcW w:w="1456" w:type="dxa"/>
            <w:tcBorders>
              <w:top w:val="single" w:sz="4" w:space="0" w:color="auto"/>
              <w:left w:val="nil"/>
              <w:bottom w:val="single" w:sz="8" w:space="0" w:color="auto"/>
              <w:right w:val="nil"/>
            </w:tcBorders>
            <w:shd w:val="clear" w:color="auto" w:fill="auto"/>
            <w:noWrap/>
            <w:hideMark/>
          </w:tcPr>
          <w:p w14:paraId="02D1B3BD" w14:textId="77777777" w:rsidR="008D06F2" w:rsidRPr="00C77E26" w:rsidRDefault="008D06F2" w:rsidP="008D06F2">
            <w:pPr>
              <w:widowControl/>
              <w:adjustRightInd/>
              <w:spacing w:before="0" w:after="0"/>
              <w:jc w:val="center"/>
              <w:textAlignment w:val="auto"/>
              <w:rPr>
                <w:rFonts w:cs="Arial"/>
                <w:sz w:val="20"/>
                <w:szCs w:val="20"/>
              </w:rPr>
            </w:pPr>
            <w:r w:rsidRPr="00C77E26">
              <w:rPr>
                <w:rFonts w:cs="Arial"/>
                <w:sz w:val="20"/>
                <w:szCs w:val="20"/>
              </w:rPr>
              <w:t> </w:t>
            </w:r>
          </w:p>
        </w:tc>
        <w:tc>
          <w:tcPr>
            <w:tcW w:w="1768" w:type="dxa"/>
            <w:tcBorders>
              <w:top w:val="single" w:sz="4" w:space="0" w:color="auto"/>
              <w:left w:val="single" w:sz="4" w:space="0" w:color="auto"/>
              <w:bottom w:val="single" w:sz="8" w:space="0" w:color="auto"/>
              <w:right w:val="single" w:sz="12" w:space="0" w:color="auto"/>
            </w:tcBorders>
            <w:shd w:val="clear" w:color="auto" w:fill="auto"/>
            <w:hideMark/>
          </w:tcPr>
          <w:p w14:paraId="41E912D5" w14:textId="77777777" w:rsidR="008D06F2" w:rsidRPr="00C77E26" w:rsidRDefault="008D06F2" w:rsidP="008D06F2">
            <w:pPr>
              <w:widowControl/>
              <w:adjustRightInd/>
              <w:spacing w:before="0" w:after="0"/>
              <w:jc w:val="center"/>
              <w:textAlignment w:val="auto"/>
              <w:rPr>
                <w:rFonts w:cs="Arial"/>
                <w:sz w:val="20"/>
                <w:szCs w:val="20"/>
              </w:rPr>
            </w:pPr>
            <w:r w:rsidRPr="00C77E26">
              <w:rPr>
                <w:rFonts w:cs="Arial"/>
                <w:sz w:val="20"/>
                <w:szCs w:val="20"/>
              </w:rPr>
              <w:t> </w:t>
            </w:r>
          </w:p>
        </w:tc>
        <w:tc>
          <w:tcPr>
            <w:tcW w:w="1814" w:type="dxa"/>
            <w:tcBorders>
              <w:top w:val="single" w:sz="4" w:space="0" w:color="auto"/>
              <w:left w:val="single" w:sz="12" w:space="0" w:color="auto"/>
              <w:bottom w:val="single" w:sz="8" w:space="0" w:color="auto"/>
              <w:right w:val="nil"/>
            </w:tcBorders>
            <w:shd w:val="clear" w:color="auto" w:fill="auto"/>
            <w:hideMark/>
          </w:tcPr>
          <w:p w14:paraId="25843F90" w14:textId="77777777" w:rsidR="008D06F2" w:rsidRPr="00C77E26" w:rsidRDefault="008D06F2" w:rsidP="008D06F2">
            <w:pPr>
              <w:widowControl/>
              <w:adjustRightInd/>
              <w:spacing w:before="0" w:after="0"/>
              <w:jc w:val="center"/>
              <w:textAlignment w:val="auto"/>
              <w:rPr>
                <w:rFonts w:cs="Arial"/>
                <w:sz w:val="20"/>
                <w:szCs w:val="20"/>
              </w:rPr>
            </w:pPr>
            <w:r w:rsidRPr="00C77E26">
              <w:rPr>
                <w:rFonts w:cs="Arial"/>
                <w:sz w:val="20"/>
                <w:szCs w:val="20"/>
              </w:rPr>
              <w:t> </w:t>
            </w:r>
          </w:p>
        </w:tc>
        <w:tc>
          <w:tcPr>
            <w:tcW w:w="1793" w:type="dxa"/>
            <w:tcBorders>
              <w:top w:val="single" w:sz="4" w:space="0" w:color="auto"/>
              <w:left w:val="single" w:sz="8" w:space="0" w:color="auto"/>
              <w:bottom w:val="single" w:sz="8" w:space="0" w:color="auto"/>
              <w:right w:val="single" w:sz="12" w:space="0" w:color="auto"/>
            </w:tcBorders>
            <w:shd w:val="clear" w:color="auto" w:fill="auto"/>
            <w:hideMark/>
          </w:tcPr>
          <w:p w14:paraId="5D873B0C" w14:textId="77777777" w:rsidR="008D06F2" w:rsidRPr="00C77E26" w:rsidRDefault="008D06F2" w:rsidP="008D06F2">
            <w:pPr>
              <w:widowControl/>
              <w:adjustRightInd/>
              <w:spacing w:before="0" w:after="0"/>
              <w:jc w:val="center"/>
              <w:textAlignment w:val="auto"/>
              <w:rPr>
                <w:rFonts w:cs="Arial"/>
                <w:sz w:val="20"/>
                <w:szCs w:val="20"/>
              </w:rPr>
            </w:pPr>
            <w:r w:rsidRPr="00C77E26">
              <w:rPr>
                <w:rFonts w:cs="Arial"/>
                <w:sz w:val="20"/>
                <w:szCs w:val="20"/>
              </w:rPr>
              <w:t> </w:t>
            </w:r>
          </w:p>
        </w:tc>
        <w:tc>
          <w:tcPr>
            <w:tcW w:w="2077" w:type="dxa"/>
            <w:tcBorders>
              <w:top w:val="single" w:sz="4" w:space="0" w:color="auto"/>
              <w:left w:val="nil"/>
              <w:bottom w:val="single" w:sz="8" w:space="0" w:color="auto"/>
              <w:right w:val="single" w:sz="4" w:space="0" w:color="auto"/>
            </w:tcBorders>
            <w:shd w:val="clear" w:color="auto" w:fill="auto"/>
            <w:hideMark/>
          </w:tcPr>
          <w:p w14:paraId="27F11CFE" w14:textId="77777777" w:rsidR="008D06F2" w:rsidRPr="00C77E26" w:rsidRDefault="008D06F2" w:rsidP="008D06F2">
            <w:pPr>
              <w:widowControl/>
              <w:adjustRightInd/>
              <w:spacing w:before="0" w:after="0"/>
              <w:textAlignment w:val="auto"/>
              <w:rPr>
                <w:rFonts w:cs="Arial"/>
                <w:sz w:val="20"/>
                <w:szCs w:val="20"/>
              </w:rPr>
            </w:pPr>
            <w:r w:rsidRPr="00C77E26">
              <w:rPr>
                <w:rFonts w:cs="Arial"/>
                <w:sz w:val="20"/>
                <w:szCs w:val="20"/>
              </w:rPr>
              <w:t> </w:t>
            </w:r>
          </w:p>
        </w:tc>
        <w:tc>
          <w:tcPr>
            <w:tcW w:w="976" w:type="dxa"/>
            <w:tcBorders>
              <w:top w:val="single" w:sz="4" w:space="0" w:color="auto"/>
              <w:left w:val="nil"/>
              <w:bottom w:val="single" w:sz="8" w:space="0" w:color="auto"/>
              <w:right w:val="single" w:sz="12" w:space="0" w:color="auto"/>
            </w:tcBorders>
            <w:shd w:val="clear" w:color="auto" w:fill="auto"/>
            <w:hideMark/>
          </w:tcPr>
          <w:p w14:paraId="67F209BF" w14:textId="77777777" w:rsidR="008D06F2" w:rsidRPr="00C77E26" w:rsidRDefault="008D06F2" w:rsidP="008D06F2">
            <w:pPr>
              <w:widowControl/>
              <w:adjustRightInd/>
              <w:spacing w:before="0" w:after="0"/>
              <w:textAlignment w:val="auto"/>
              <w:rPr>
                <w:rFonts w:cs="Arial"/>
                <w:color w:val="000000"/>
                <w:sz w:val="20"/>
                <w:szCs w:val="20"/>
              </w:rPr>
            </w:pPr>
            <w:r w:rsidRPr="00C77E26">
              <w:rPr>
                <w:rFonts w:cs="Arial"/>
                <w:color w:val="000000"/>
                <w:sz w:val="20"/>
                <w:szCs w:val="20"/>
              </w:rPr>
              <w:t> </w:t>
            </w:r>
          </w:p>
        </w:tc>
      </w:tr>
      <w:tr w:rsidR="008D06F2" w:rsidRPr="00C77E26" w14:paraId="44A7A046" w14:textId="77777777" w:rsidTr="003B3190">
        <w:trPr>
          <w:cantSplit/>
          <w:trHeight w:val="1515"/>
        </w:trPr>
        <w:tc>
          <w:tcPr>
            <w:tcW w:w="1635" w:type="dxa"/>
            <w:vMerge/>
            <w:tcBorders>
              <w:top w:val="single" w:sz="8" w:space="0" w:color="000000"/>
              <w:left w:val="single" w:sz="12" w:space="0" w:color="auto"/>
              <w:bottom w:val="single" w:sz="8" w:space="0" w:color="auto"/>
              <w:right w:val="nil"/>
            </w:tcBorders>
            <w:vAlign w:val="center"/>
            <w:hideMark/>
          </w:tcPr>
          <w:p w14:paraId="2A7C12B0" w14:textId="77777777" w:rsidR="008D06F2" w:rsidRPr="00C77E26" w:rsidRDefault="008D06F2" w:rsidP="008D06F2">
            <w:pPr>
              <w:widowControl/>
              <w:adjustRightInd/>
              <w:spacing w:before="0" w:after="0"/>
              <w:textAlignment w:val="auto"/>
              <w:rPr>
                <w:rFonts w:cs="Arial"/>
                <w:color w:val="000000"/>
                <w:sz w:val="20"/>
                <w:szCs w:val="20"/>
              </w:rPr>
            </w:pPr>
          </w:p>
        </w:tc>
        <w:tc>
          <w:tcPr>
            <w:tcW w:w="2563" w:type="dxa"/>
            <w:vMerge/>
            <w:tcBorders>
              <w:top w:val="single" w:sz="8" w:space="0" w:color="000000"/>
              <w:left w:val="single" w:sz="4" w:space="0" w:color="auto"/>
              <w:bottom w:val="single" w:sz="8" w:space="0" w:color="000000"/>
              <w:right w:val="nil"/>
            </w:tcBorders>
            <w:vAlign w:val="center"/>
            <w:hideMark/>
          </w:tcPr>
          <w:p w14:paraId="74E5A0B5" w14:textId="77777777" w:rsidR="008D06F2" w:rsidRPr="00C77E26" w:rsidRDefault="008D06F2" w:rsidP="008D06F2">
            <w:pPr>
              <w:widowControl/>
              <w:adjustRightInd/>
              <w:spacing w:before="0" w:after="0"/>
              <w:textAlignment w:val="auto"/>
              <w:rPr>
                <w:rFonts w:cs="Arial"/>
                <w:color w:val="000000"/>
                <w:sz w:val="20"/>
                <w:szCs w:val="20"/>
              </w:rPr>
            </w:pPr>
          </w:p>
        </w:tc>
        <w:tc>
          <w:tcPr>
            <w:tcW w:w="1572" w:type="dxa"/>
            <w:tcBorders>
              <w:top w:val="single" w:sz="8" w:space="0" w:color="auto"/>
              <w:left w:val="single" w:sz="4" w:space="0" w:color="auto"/>
              <w:bottom w:val="single" w:sz="8" w:space="0" w:color="auto"/>
              <w:right w:val="nil"/>
            </w:tcBorders>
            <w:shd w:val="clear" w:color="auto" w:fill="auto"/>
            <w:hideMark/>
          </w:tcPr>
          <w:p w14:paraId="2853377E" w14:textId="77777777" w:rsidR="008D06F2" w:rsidRPr="00C77E26" w:rsidRDefault="008D06F2" w:rsidP="008D06F2">
            <w:pPr>
              <w:widowControl/>
              <w:adjustRightInd/>
              <w:spacing w:before="0" w:after="0"/>
              <w:textAlignment w:val="auto"/>
              <w:rPr>
                <w:rFonts w:cs="Arial"/>
                <w:color w:val="000000"/>
                <w:sz w:val="20"/>
                <w:szCs w:val="20"/>
              </w:rPr>
            </w:pPr>
            <w:r w:rsidRPr="00C77E26">
              <w:rPr>
                <w:rFonts w:cs="Arial"/>
                <w:color w:val="000000"/>
                <w:sz w:val="20"/>
                <w:szCs w:val="20"/>
              </w:rPr>
              <w:t> </w:t>
            </w:r>
          </w:p>
        </w:tc>
        <w:tc>
          <w:tcPr>
            <w:tcW w:w="1986" w:type="dxa"/>
            <w:tcBorders>
              <w:top w:val="single" w:sz="8" w:space="0" w:color="auto"/>
              <w:left w:val="single" w:sz="8" w:space="0" w:color="auto"/>
              <w:bottom w:val="single" w:sz="8" w:space="0" w:color="auto"/>
              <w:right w:val="single" w:sz="4" w:space="0" w:color="auto"/>
            </w:tcBorders>
            <w:shd w:val="clear" w:color="auto" w:fill="auto"/>
            <w:hideMark/>
          </w:tcPr>
          <w:p w14:paraId="1B849A71" w14:textId="77777777" w:rsidR="008D06F2" w:rsidRPr="00C77E26" w:rsidRDefault="008D06F2" w:rsidP="008D06F2">
            <w:pPr>
              <w:widowControl/>
              <w:adjustRightInd/>
              <w:spacing w:before="0" w:after="0"/>
              <w:textAlignment w:val="auto"/>
              <w:rPr>
                <w:rFonts w:cs="Arial"/>
                <w:sz w:val="20"/>
                <w:szCs w:val="20"/>
              </w:rPr>
            </w:pPr>
            <w:r w:rsidRPr="00C77E26">
              <w:rPr>
                <w:rFonts w:cs="Arial"/>
                <w:sz w:val="20"/>
                <w:szCs w:val="20"/>
              </w:rPr>
              <w:t> </w:t>
            </w:r>
          </w:p>
        </w:tc>
        <w:tc>
          <w:tcPr>
            <w:tcW w:w="1456" w:type="dxa"/>
            <w:tcBorders>
              <w:top w:val="single" w:sz="8" w:space="0" w:color="auto"/>
              <w:left w:val="nil"/>
              <w:bottom w:val="single" w:sz="8" w:space="0" w:color="auto"/>
              <w:right w:val="nil"/>
            </w:tcBorders>
            <w:shd w:val="clear" w:color="auto" w:fill="auto"/>
            <w:noWrap/>
            <w:hideMark/>
          </w:tcPr>
          <w:p w14:paraId="4925A755" w14:textId="77777777" w:rsidR="008D06F2" w:rsidRPr="00C77E26" w:rsidRDefault="008D06F2" w:rsidP="008D06F2">
            <w:pPr>
              <w:widowControl/>
              <w:adjustRightInd/>
              <w:spacing w:before="0" w:after="0"/>
              <w:jc w:val="center"/>
              <w:textAlignment w:val="auto"/>
              <w:rPr>
                <w:rFonts w:cs="Arial"/>
                <w:sz w:val="20"/>
                <w:szCs w:val="20"/>
              </w:rPr>
            </w:pPr>
            <w:r w:rsidRPr="00C77E26">
              <w:rPr>
                <w:rFonts w:cs="Arial"/>
                <w:sz w:val="20"/>
                <w:szCs w:val="20"/>
              </w:rPr>
              <w:t> </w:t>
            </w:r>
          </w:p>
        </w:tc>
        <w:tc>
          <w:tcPr>
            <w:tcW w:w="1768" w:type="dxa"/>
            <w:tcBorders>
              <w:top w:val="single" w:sz="8" w:space="0" w:color="auto"/>
              <w:left w:val="single" w:sz="4" w:space="0" w:color="auto"/>
              <w:bottom w:val="single" w:sz="8" w:space="0" w:color="auto"/>
              <w:right w:val="single" w:sz="12" w:space="0" w:color="auto"/>
            </w:tcBorders>
            <w:shd w:val="clear" w:color="auto" w:fill="auto"/>
            <w:hideMark/>
          </w:tcPr>
          <w:p w14:paraId="44915041" w14:textId="77777777" w:rsidR="008D06F2" w:rsidRPr="00C77E26" w:rsidRDefault="008D06F2" w:rsidP="008D06F2">
            <w:pPr>
              <w:widowControl/>
              <w:adjustRightInd/>
              <w:spacing w:before="0" w:after="0"/>
              <w:jc w:val="center"/>
              <w:textAlignment w:val="auto"/>
              <w:rPr>
                <w:rFonts w:cs="Arial"/>
                <w:sz w:val="20"/>
                <w:szCs w:val="20"/>
              </w:rPr>
            </w:pPr>
            <w:r w:rsidRPr="00C77E26">
              <w:rPr>
                <w:rFonts w:cs="Arial"/>
                <w:sz w:val="20"/>
                <w:szCs w:val="20"/>
              </w:rPr>
              <w:t> </w:t>
            </w:r>
          </w:p>
        </w:tc>
        <w:tc>
          <w:tcPr>
            <w:tcW w:w="1814" w:type="dxa"/>
            <w:tcBorders>
              <w:top w:val="single" w:sz="8" w:space="0" w:color="auto"/>
              <w:left w:val="single" w:sz="12" w:space="0" w:color="auto"/>
              <w:bottom w:val="single" w:sz="8" w:space="0" w:color="auto"/>
              <w:right w:val="nil"/>
            </w:tcBorders>
            <w:shd w:val="clear" w:color="auto" w:fill="auto"/>
            <w:hideMark/>
          </w:tcPr>
          <w:p w14:paraId="15C0A86E" w14:textId="77777777" w:rsidR="008D06F2" w:rsidRPr="00C77E26" w:rsidRDefault="008D06F2" w:rsidP="008D06F2">
            <w:pPr>
              <w:widowControl/>
              <w:adjustRightInd/>
              <w:spacing w:before="0" w:after="0"/>
              <w:jc w:val="center"/>
              <w:textAlignment w:val="auto"/>
              <w:rPr>
                <w:rFonts w:cs="Arial"/>
                <w:sz w:val="20"/>
                <w:szCs w:val="20"/>
              </w:rPr>
            </w:pPr>
            <w:r w:rsidRPr="00C77E26">
              <w:rPr>
                <w:rFonts w:cs="Arial"/>
                <w:sz w:val="20"/>
                <w:szCs w:val="20"/>
              </w:rPr>
              <w:t> </w:t>
            </w:r>
          </w:p>
        </w:tc>
        <w:tc>
          <w:tcPr>
            <w:tcW w:w="1793" w:type="dxa"/>
            <w:tcBorders>
              <w:top w:val="single" w:sz="8" w:space="0" w:color="auto"/>
              <w:left w:val="single" w:sz="8" w:space="0" w:color="auto"/>
              <w:bottom w:val="single" w:sz="8" w:space="0" w:color="auto"/>
              <w:right w:val="single" w:sz="12" w:space="0" w:color="auto"/>
            </w:tcBorders>
            <w:shd w:val="clear" w:color="auto" w:fill="auto"/>
            <w:hideMark/>
          </w:tcPr>
          <w:p w14:paraId="1B0A3D22" w14:textId="77777777" w:rsidR="008D06F2" w:rsidRPr="00C77E26" w:rsidRDefault="008D06F2" w:rsidP="008D06F2">
            <w:pPr>
              <w:widowControl/>
              <w:adjustRightInd/>
              <w:spacing w:before="0" w:after="0"/>
              <w:jc w:val="center"/>
              <w:textAlignment w:val="auto"/>
              <w:rPr>
                <w:rFonts w:cs="Arial"/>
                <w:sz w:val="20"/>
                <w:szCs w:val="20"/>
              </w:rPr>
            </w:pPr>
            <w:r w:rsidRPr="00C77E26">
              <w:rPr>
                <w:rFonts w:cs="Arial"/>
                <w:sz w:val="20"/>
                <w:szCs w:val="20"/>
              </w:rPr>
              <w:t> </w:t>
            </w:r>
          </w:p>
        </w:tc>
        <w:tc>
          <w:tcPr>
            <w:tcW w:w="2077" w:type="dxa"/>
            <w:tcBorders>
              <w:top w:val="single" w:sz="8" w:space="0" w:color="auto"/>
              <w:left w:val="nil"/>
              <w:bottom w:val="single" w:sz="8" w:space="0" w:color="auto"/>
              <w:right w:val="single" w:sz="4" w:space="0" w:color="auto"/>
            </w:tcBorders>
            <w:shd w:val="clear" w:color="auto" w:fill="auto"/>
            <w:hideMark/>
          </w:tcPr>
          <w:p w14:paraId="72D80B87" w14:textId="77777777" w:rsidR="008D06F2" w:rsidRPr="00C77E26" w:rsidRDefault="008D06F2" w:rsidP="008D06F2">
            <w:pPr>
              <w:widowControl/>
              <w:adjustRightInd/>
              <w:spacing w:before="0" w:after="0"/>
              <w:textAlignment w:val="auto"/>
              <w:rPr>
                <w:rFonts w:cs="Arial"/>
                <w:sz w:val="20"/>
                <w:szCs w:val="20"/>
              </w:rPr>
            </w:pPr>
            <w:r w:rsidRPr="00C77E26">
              <w:rPr>
                <w:rFonts w:cs="Arial"/>
                <w:sz w:val="20"/>
                <w:szCs w:val="20"/>
              </w:rPr>
              <w:t> </w:t>
            </w:r>
          </w:p>
        </w:tc>
        <w:tc>
          <w:tcPr>
            <w:tcW w:w="976" w:type="dxa"/>
            <w:tcBorders>
              <w:top w:val="single" w:sz="8" w:space="0" w:color="auto"/>
              <w:left w:val="nil"/>
              <w:bottom w:val="single" w:sz="8" w:space="0" w:color="auto"/>
              <w:right w:val="single" w:sz="12" w:space="0" w:color="auto"/>
            </w:tcBorders>
            <w:shd w:val="clear" w:color="auto" w:fill="auto"/>
            <w:hideMark/>
          </w:tcPr>
          <w:p w14:paraId="653F3380" w14:textId="77777777" w:rsidR="008D06F2" w:rsidRPr="00C77E26" w:rsidRDefault="008D06F2" w:rsidP="008D06F2">
            <w:pPr>
              <w:widowControl/>
              <w:adjustRightInd/>
              <w:spacing w:before="0" w:after="0"/>
              <w:textAlignment w:val="auto"/>
              <w:rPr>
                <w:rFonts w:cs="Arial"/>
                <w:color w:val="000000"/>
                <w:sz w:val="20"/>
                <w:szCs w:val="20"/>
              </w:rPr>
            </w:pPr>
            <w:r w:rsidRPr="00C77E26">
              <w:rPr>
                <w:rFonts w:cs="Arial"/>
                <w:color w:val="000000"/>
                <w:sz w:val="20"/>
                <w:szCs w:val="20"/>
              </w:rPr>
              <w:t> </w:t>
            </w:r>
          </w:p>
        </w:tc>
      </w:tr>
    </w:tbl>
    <w:p w14:paraId="273FBB4C" w14:textId="77777777" w:rsidR="00B169B0" w:rsidRDefault="00B169B0" w:rsidP="0017574D">
      <w:pPr>
        <w:spacing w:before="0" w:after="0"/>
      </w:pPr>
    </w:p>
    <w:p w14:paraId="196A002E" w14:textId="09E9A007" w:rsidR="00B363A8" w:rsidRPr="009826C5" w:rsidRDefault="00B363A8" w:rsidP="00087602">
      <w:pPr>
        <w:tabs>
          <w:tab w:val="left" w:pos="5143"/>
        </w:tabs>
        <w:rPr>
          <w:rFonts w:cs="Arial"/>
          <w:sz w:val="18"/>
          <w:szCs w:val="18"/>
        </w:rPr>
      </w:pPr>
    </w:p>
    <w:sectPr w:rsidR="00B363A8" w:rsidRPr="009826C5" w:rsidSect="00666BFE">
      <w:headerReference w:type="even" r:id="rId75"/>
      <w:headerReference w:type="default" r:id="rId76"/>
      <w:footerReference w:type="even" r:id="rId77"/>
      <w:footerReference w:type="default" r:id="rId78"/>
      <w:endnotePr>
        <w:numFmt w:val="decimal"/>
      </w:endnotePr>
      <w:pgSz w:w="20160" w:h="12240" w:orient="landscape" w:code="5"/>
      <w:pgMar w:top="1080" w:right="1440" w:bottom="1080" w:left="1080" w:header="720" w:footer="720" w:gutter="36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1A87C" w14:textId="77777777" w:rsidR="00F843B9" w:rsidRDefault="00F843B9" w:rsidP="008B6636"/>
    <w:p w14:paraId="54F2DE12" w14:textId="77777777" w:rsidR="00F843B9" w:rsidRDefault="00F843B9"/>
  </w:endnote>
  <w:endnote w:type="continuationSeparator" w:id="0">
    <w:p w14:paraId="20D14F8E" w14:textId="77777777" w:rsidR="00F843B9" w:rsidRDefault="00F843B9" w:rsidP="008B6636">
      <w:r>
        <w:t xml:space="preserve"> </w:t>
      </w:r>
    </w:p>
    <w:p w14:paraId="0433C9C3" w14:textId="77777777" w:rsidR="00F843B9" w:rsidRDefault="00F843B9"/>
  </w:endnote>
  <w:endnote w:type="continuationNotice" w:id="1">
    <w:p w14:paraId="42B47B0C" w14:textId="77777777" w:rsidR="00F843B9" w:rsidRDefault="00F843B9" w:rsidP="008B6636">
      <w:r>
        <w:t xml:space="preserve"> </w:t>
      </w:r>
    </w:p>
    <w:p w14:paraId="1CA5E0F4" w14:textId="77777777" w:rsidR="00F843B9" w:rsidRDefault="00F843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Century Book">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OMDAA K+ Century">
    <w:altName w:val="Century"/>
    <w:panose1 w:val="00000000000000000000"/>
    <w:charset w:val="00"/>
    <w:family w:val="roman"/>
    <w:notTrueType/>
    <w:pitch w:val="default"/>
    <w:sig w:usb0="00000003" w:usb1="00000000" w:usb2="00000000" w:usb3="00000000" w:csb0="00000001" w:csb1="00000000"/>
  </w:font>
  <w:font w:name="HoloLens MDL2 Assets">
    <w:panose1 w:val="050A0102010101010101"/>
    <w:charset w:val="00"/>
    <w:family w:val="roman"/>
    <w:pitch w:val="variable"/>
    <w:sig w:usb0="00000003" w:usb1="1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019BD" w14:textId="77777777" w:rsidR="00F843B9" w:rsidRPr="00486BA8" w:rsidRDefault="00F843B9" w:rsidP="00353A9C">
    <w:pPr>
      <w:pStyle w:val="Footer"/>
    </w:pPr>
    <w:r>
      <w:t>July 2008</w:t>
    </w:r>
    <w:r w:rsidRPr="00486BA8">
      <w:tab/>
      <w:t>GAO/PCIE Financial Audit Manual</w:t>
    </w:r>
    <w:r w:rsidRPr="00486BA8">
      <w:tab/>
    </w:r>
    <w:r>
      <w:t xml:space="preserve"> </w:t>
    </w:r>
    <w:r w:rsidRPr="00486BA8">
      <w:t xml:space="preserve">Page </w:t>
    </w:r>
    <w:r>
      <w:t>3</w:t>
    </w:r>
    <w:r w:rsidRPr="00486BA8">
      <w:t>00</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DB660" w14:textId="77777777" w:rsidR="00F843B9" w:rsidRDefault="00F843B9" w:rsidP="00CC5F9D">
    <w:pPr>
      <w:pStyle w:val="Header"/>
    </w:pPr>
  </w:p>
  <w:p w14:paraId="775A57CA" w14:textId="77777777" w:rsidR="00F843B9" w:rsidRDefault="00F843B9" w:rsidP="008B6636">
    <w:r>
      <w:rPr>
        <w:noProof/>
      </w:rPr>
      <mc:AlternateContent>
        <mc:Choice Requires="wps">
          <w:drawing>
            <wp:anchor distT="0" distB="0" distL="114300" distR="114300" simplePos="0" relativeHeight="251648512" behindDoc="1" locked="1" layoutInCell="1" allowOverlap="1" wp14:anchorId="3A6AC013" wp14:editId="2C576FBF">
              <wp:simplePos x="0" y="0"/>
              <wp:positionH relativeFrom="page">
                <wp:posOffset>1384935</wp:posOffset>
              </wp:positionH>
              <wp:positionV relativeFrom="paragraph">
                <wp:posOffset>2540</wp:posOffset>
              </wp:positionV>
              <wp:extent cx="5486400" cy="12065"/>
              <wp:effectExtent l="3810" t="2540" r="0" b="4445"/>
              <wp:wrapNone/>
              <wp:docPr id="37"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17E7C3" id="Rectangle 34" o:spid="_x0000_s1026" style="position:absolute;margin-left:109.05pt;margin-top:.2pt;width:6in;height:.95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AUHdQIAAPkEAAAOAAAAZHJzL2Uyb0RvYy54bWysVNuO2yAQfa/Uf0C8Z21nycVWnNVemqrS&#10;tl112w8ggGNUDBRInG3Vf++AkzTbvqyq5oEwnmE4c+YMi6t9p9BOOC+NrnFxkWMkNDNc6k2Nv3xe&#10;jeYY+UA1p8poUeMn4fHV8vWrRW8rMTatUVw4BEm0r3pb4zYEW2WZZ63oqL8wVmhwNsZ1NIDpNhl3&#10;tIfsncrGeT7NeuO4dYYJ7+Hr3eDEy5S/aQQLH5vGi4BUjQFbSKtL6zqu2XJBq42jtpXsAIP+A4qO&#10;Sg2XnlLd0UDR1sm/UnWSOeNNEy6Y6TLTNJKJVANUU+R/VPPYUitSLUCOtyea/P9Lyz7sHhySvMaX&#10;M4w07aBHn4A1qjdKoEsSCeqtryDu0T64WKK394Z99Uib2xbCxLVzpm8F5QCriPHZswPR8HAUrfv3&#10;hkN6ug0mcbVvXBcTAgton1rydGqJ2AfE4OOEzKckh84x8BXjfDpJN9DqeNg6H94K06G4qbED7Ck5&#10;3d37EMHQ6hiSwBsl+UoqlQy3Wd8qh3Y0qiP9Dtn9eZjSMVibeGzIOHwBjHBH9EW0qds/ymJM8ptx&#10;OVpN57MRWZHJqJzl81FelDflNCcluVv9jAALUrWSc6HvpRZH5RXkZZ09zMCgmaQ91EfqUlHn0P3L&#10;KuxkgClUsqvx/EQDrWJT32gONdMqUKmGffYce6IYCDj+J0qSBGLXB/WsDX8CBTgDHYJewnsBm9a4&#10;7xj1MHs19t+21AmM1DsNKioLQuKwJoNMZmMw3Llnfe6hmkGqGgeMhu1tGAZ8a53ctHBTkYjR5hqU&#10;18ikiqjKAdVBrzBfqYLDWxAH+NxOUb9frOUvAAAA//8DAFBLAwQUAAYACAAAACEAxU38/dgAAAAH&#10;AQAADwAAAGRycy9kb3ducmV2LnhtbEyOTU/DMBBE70j8B2srcaPOR4miEKcCJK5IDVy4OfGSRI3X&#10;Jnbb8O/ZnuA4eqOZV+9XO4szLmFypCDdJiCQemcmGhR8vL/elyBC1GT07AgV/GCAfXN7U+vKuAsd&#10;8NzGQfAIhUorGGP0lZShH9HqsHUeidmXW6yOHJdBmkVfeNzOMkuSQlo9ET+M2uPLiP2xPVn+/czb&#10;xJffzwPZt92hK3zeFQ9K3W3Wp0cQEdf4V4arPqtDw06dO5EJYlaQpWXKVQU7EFeclBnnjkEOsqnl&#10;f//mFwAA//8DAFBLAQItABQABgAIAAAAIQC2gziS/gAAAOEBAAATAAAAAAAAAAAAAAAAAAAAAABb&#10;Q29udGVudF9UeXBlc10ueG1sUEsBAi0AFAAGAAgAAAAhADj9If/WAAAAlAEAAAsAAAAAAAAAAAAA&#10;AAAALwEAAF9yZWxzLy5yZWxzUEsBAi0AFAAGAAgAAAAhALnMBQd1AgAA+QQAAA4AAAAAAAAAAAAA&#10;AAAALgIAAGRycy9lMm9Eb2MueG1sUEsBAi0AFAAGAAgAAAAhAMVN/P3YAAAABwEAAA8AAAAAAAAA&#10;AAAAAAAAzwQAAGRycy9kb3ducmV2LnhtbFBLBQYAAAAABAAEAPMAAADUBQAAAAA=&#10;" fillcolor="black" stroked="f" strokeweight="0">
              <w10:wrap anchorx="page"/>
              <w10:anchorlock/>
            </v:rect>
          </w:pict>
        </mc:Fallback>
      </mc:AlternateContent>
    </w:r>
  </w:p>
  <w:p w14:paraId="5FE6D532" w14:textId="77777777" w:rsidR="00F843B9" w:rsidRDefault="00F843B9" w:rsidP="008B6636">
    <w:r>
      <w:t>July 2001</w:t>
    </w:r>
    <w:r>
      <w:tab/>
      <w:t>GAO/PCIE Financial Audit Manual</w:t>
    </w:r>
    <w:r>
      <w:tab/>
      <w:t>Page 330-</w:t>
    </w:r>
    <w:r>
      <w:fldChar w:fldCharType="begin"/>
    </w:r>
    <w:r>
      <w:instrText xml:space="preserve">PAGE </w:instrText>
    </w:r>
    <w:r>
      <w:fldChar w:fldCharType="separate"/>
    </w:r>
    <w:r>
      <w:rPr>
        <w:noProof/>
      </w:rPr>
      <w:t>4</w:t>
    </w:r>
    <w:r>
      <w:rPr>
        <w:noProof/>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7A124" w14:textId="5318D173" w:rsidR="00F843B9" w:rsidRPr="00DC0634" w:rsidRDefault="00513F1E" w:rsidP="00A2562F">
    <w:pPr>
      <w:pStyle w:val="Footer"/>
      <w:spacing w:after="0"/>
      <w:rPr>
        <w:b/>
        <w:color w:val="FF0000"/>
      </w:rPr>
    </w:pPr>
    <w:r>
      <w:rPr>
        <w:color w:val="000000" w:themeColor="text1"/>
      </w:rPr>
      <w:t>June 2024</w:t>
    </w:r>
    <w:r w:rsidR="00F843B9" w:rsidRPr="00D20FD5">
      <w:tab/>
    </w:r>
    <w:r w:rsidR="00F843B9">
      <w:t xml:space="preserve">                </w:t>
    </w:r>
    <w:r w:rsidR="00F843B9" w:rsidRPr="00D20FD5">
      <w:t>GAO/</w:t>
    </w:r>
    <w:r w:rsidR="00F843B9">
      <w:t>CIGIE</w:t>
    </w:r>
    <w:r w:rsidR="00F843B9" w:rsidRPr="00D20FD5">
      <w:t xml:space="preserve"> Financial Audit Manual</w:t>
    </w:r>
    <w:r w:rsidR="00F843B9" w:rsidRPr="00D20FD5">
      <w:tab/>
      <w:t>Page 330-</w:t>
    </w:r>
    <w:r w:rsidR="00F843B9" w:rsidRPr="00D20FD5">
      <w:fldChar w:fldCharType="begin"/>
    </w:r>
    <w:r w:rsidR="00F843B9" w:rsidRPr="00D20FD5">
      <w:instrText xml:space="preserve">PAGE </w:instrText>
    </w:r>
    <w:r w:rsidR="00F843B9" w:rsidRPr="00D20FD5">
      <w:fldChar w:fldCharType="separate"/>
    </w:r>
    <w:r w:rsidR="00695A76">
      <w:rPr>
        <w:noProof/>
      </w:rPr>
      <w:t>5</w:t>
    </w:r>
    <w:r w:rsidR="00F843B9" w:rsidRPr="00D20FD5">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DCA8E" w14:textId="77777777" w:rsidR="00F843B9" w:rsidRDefault="00F843B9" w:rsidP="00CC5F9D">
    <w:pPr>
      <w:pStyle w:val="Header"/>
    </w:pPr>
  </w:p>
  <w:p w14:paraId="5F40527F" w14:textId="77777777" w:rsidR="00F843B9" w:rsidRDefault="00F843B9" w:rsidP="008B6636">
    <w:r>
      <w:rPr>
        <w:noProof/>
      </w:rPr>
      <mc:AlternateContent>
        <mc:Choice Requires="wps">
          <w:drawing>
            <wp:anchor distT="0" distB="0" distL="114300" distR="114300" simplePos="0" relativeHeight="251647488" behindDoc="1" locked="1" layoutInCell="0" allowOverlap="1" wp14:anchorId="0DBE42B9" wp14:editId="5712767E">
              <wp:simplePos x="0" y="0"/>
              <wp:positionH relativeFrom="page">
                <wp:posOffset>1600200</wp:posOffset>
              </wp:positionH>
              <wp:positionV relativeFrom="paragraph">
                <wp:posOffset>0</wp:posOffset>
              </wp:positionV>
              <wp:extent cx="5486400" cy="12065"/>
              <wp:effectExtent l="0" t="0" r="0" b="0"/>
              <wp:wrapNone/>
              <wp:docPr id="34"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C7E057" id="Rectangle 33" o:spid="_x0000_s1026" style="position:absolute;margin-left:126pt;margin-top:0;width:6in;height:.95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591dQIAAPkEAAAOAAAAZHJzL2Uyb0RvYy54bWysVFFv0zAQfkfiP1h+75J0btdES6etpQhp&#10;wMTgB7i201g4trHdpgPx3zk7bengZUL0wfXlzufvvvvO1zf7TqGdcF4aXePiIsdIaGa41Jsaf/m8&#10;Gs0w8oFqTpXRosZPwuOb+etX172txNi0RnHhECTRvuptjdsQbJVlnrWio/7CWKHB2RjX0QCm22Tc&#10;0R6ydyob5/k0643j1hkmvIevy8GJ5yl/0wgWPjaNFwGpGgO2kFaX1nVcs/k1rTaO2layAwz6Dyg6&#10;KjVcekq1pIGirZN/peokc8abJlww02WmaSQTqQaopsj/qOaxpVakWoAcb080+f+Xln3YPTgkeY0v&#10;CUaadtCjT8Aa1Rsl0OVlJKi3voK4R/vgYone3hv21SNtFi2EiVvnTN8KygFWEeOzZwei4eEoWvfv&#10;DYf0dBtM4mrfuC4mBBbQPrXk6dQSsQ+IwccJmU1JDp1j4CvG+XSSbqDV8bB1PrwVpkNxU2MH2FNy&#10;urv3IYKh1TEkgTdK8pVUKhlus14oh3Y0qiP9Dtn9eZjSMVibeGzIOHwBjHBH9EW0qds/ymJM8rtx&#10;OVpNZ1cjsiKTUXmVz0Z5Ud6V05yUZLn6GQEWpGol50LfSy2OyivIyzp7mIFBM0l7qI/UpaLOofuX&#10;VdjJAFOoZFfj2YkGWsWmvtEcaqZVoFIN++w59kQxEHD8T5QkCcSuD+pZG/4ECnAGOgS9hPcCNq1x&#10;3zHqYfZq7L9tqRMYqXcaVFQWhMRhTQaZXI3BcOee9bmHagapahwwGraLMAz41jq5aeGmIhGjzS0o&#10;r5FJFVGVA6qDXmG+UgWHtyAO8Lmdon6/WPNfAAAA//8DAFBLAwQUAAYACAAAACEAZHfjLNsAAAAH&#10;AQAADwAAAGRycy9kb3ducmV2LnhtbEyPQU/DMAyF70j7D5EncWNpu60apekESFwnrePCLW1MW9E4&#10;ocm28u/xTnCxnvWs9z6X+9mO4oJTGBwpSFcJCKTWmYE6Be+nt4cdiBA1GT06QgU/GGBfLe5KXRh3&#10;pSNe6tgJDqFQaAV9jL6QMrQ9Wh1WziOx9+kmqyOvUyfNpK8cbkeZJUkurR6IG3rt8bXH9qs+W+79&#10;WNeJ332/dGQPm2OT+3WTb5W6X87PTyAizvHvGG74jA4VMzXuTCaIUUG2zfiXqIDnzU7TnFXD6hFk&#10;Vcr//NUvAAAA//8DAFBLAQItABQABgAIAAAAIQC2gziS/gAAAOEBAAATAAAAAAAAAAAAAAAAAAAA&#10;AABbQ29udGVudF9UeXBlc10ueG1sUEsBAi0AFAAGAAgAAAAhADj9If/WAAAAlAEAAAsAAAAAAAAA&#10;AAAAAAAALwEAAF9yZWxzLy5yZWxzUEsBAi0AFAAGAAgAAAAhAJi/n3V1AgAA+QQAAA4AAAAAAAAA&#10;AAAAAAAALgIAAGRycy9lMm9Eb2MueG1sUEsBAi0AFAAGAAgAAAAhAGR34yzbAAAABwEAAA8AAAAA&#10;AAAAAAAAAAAAzwQAAGRycy9kb3ducmV2LnhtbFBLBQYAAAAABAAEAPMAAADXBQAAAAA=&#10;" o:allowincell="f" fillcolor="black" stroked="f" strokeweight="0">
              <w10:wrap anchorx="page"/>
              <w10:anchorlock/>
            </v:rect>
          </w:pict>
        </mc:Fallback>
      </mc:AlternateContent>
    </w:r>
  </w:p>
  <w:p w14:paraId="41A9B2B8" w14:textId="77777777" w:rsidR="00F843B9" w:rsidRDefault="00F843B9" w:rsidP="008B6636">
    <w:r>
      <w:t>July 2001</w:t>
    </w:r>
    <w:r>
      <w:tab/>
      <w:t>GAO/PCIE Financial Audit Manual</w:t>
    </w:r>
    <w:r>
      <w:tab/>
      <w:t>Page 330-</w:t>
    </w:r>
    <w:r>
      <w:fldChar w:fldCharType="begin"/>
    </w:r>
    <w:r>
      <w:instrText xml:space="preserve">PAGE </w:instrText>
    </w:r>
    <w:r>
      <w:fldChar w:fldCharType="separate"/>
    </w:r>
    <w:r>
      <w:rPr>
        <w:noProof/>
      </w:rPr>
      <w:t>1</w:t>
    </w:r>
    <w:r>
      <w:rPr>
        <w:noProof/>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B4908" w14:textId="6C43F5B5" w:rsidR="00F843B9" w:rsidRPr="00D20FD5" w:rsidRDefault="00513F1E" w:rsidP="00A2562F">
    <w:pPr>
      <w:pStyle w:val="Footer"/>
      <w:spacing w:after="0"/>
    </w:pPr>
    <w:r>
      <w:rPr>
        <w:color w:val="000000" w:themeColor="text1"/>
      </w:rPr>
      <w:t>June 2024</w:t>
    </w:r>
    <w:r w:rsidR="00F843B9" w:rsidRPr="00D20FD5">
      <w:tab/>
    </w:r>
    <w:r w:rsidR="00F843B9">
      <w:t xml:space="preserve">              </w:t>
    </w:r>
    <w:r w:rsidR="00F843B9" w:rsidRPr="00D20FD5">
      <w:t>GAO/</w:t>
    </w:r>
    <w:r w:rsidR="00F843B9">
      <w:t>CIGIE</w:t>
    </w:r>
    <w:r w:rsidR="00F843B9" w:rsidRPr="00D20FD5">
      <w:t xml:space="preserve"> Financial Audit Manual</w:t>
    </w:r>
    <w:r w:rsidR="00F843B9" w:rsidRPr="00D20FD5">
      <w:tab/>
      <w:t>Page 340-</w:t>
    </w:r>
    <w:r w:rsidR="00F843B9" w:rsidRPr="00D20FD5">
      <w:fldChar w:fldCharType="begin"/>
    </w:r>
    <w:r w:rsidR="00F843B9" w:rsidRPr="00D20FD5">
      <w:instrText xml:space="preserve">PAGE </w:instrText>
    </w:r>
    <w:r w:rsidR="00F843B9" w:rsidRPr="00D20FD5">
      <w:fldChar w:fldCharType="separate"/>
    </w:r>
    <w:r w:rsidR="00695A76">
      <w:rPr>
        <w:noProof/>
      </w:rPr>
      <w:t>3</w:t>
    </w:r>
    <w:r w:rsidR="00F843B9" w:rsidRPr="00D20FD5">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66CED" w14:textId="60FADE08" w:rsidR="00F843B9" w:rsidRPr="00D20FD5" w:rsidRDefault="00513F1E" w:rsidP="00A2562F">
    <w:pPr>
      <w:pStyle w:val="Footer"/>
      <w:spacing w:after="0"/>
    </w:pPr>
    <w:r>
      <w:rPr>
        <w:color w:val="000000" w:themeColor="text1"/>
      </w:rPr>
      <w:t>June 2024</w:t>
    </w:r>
    <w:r w:rsidR="00F843B9">
      <w:rPr>
        <w:color w:val="000000" w:themeColor="text1"/>
      </w:rPr>
      <w:t xml:space="preserve">                   </w:t>
    </w:r>
    <w:r w:rsidR="00F843B9" w:rsidRPr="00D20FD5">
      <w:tab/>
      <w:t>GAO/</w:t>
    </w:r>
    <w:r w:rsidR="00F843B9">
      <w:t>CIGIE</w:t>
    </w:r>
    <w:r w:rsidR="00F843B9" w:rsidRPr="00D20FD5">
      <w:t xml:space="preserve"> Financial Audit Manual</w:t>
    </w:r>
    <w:r w:rsidR="00F843B9" w:rsidRPr="00D20FD5">
      <w:tab/>
      <w:t>Page 350-</w:t>
    </w:r>
    <w:r w:rsidR="00F843B9" w:rsidRPr="00D20FD5">
      <w:fldChar w:fldCharType="begin"/>
    </w:r>
    <w:r w:rsidR="00F843B9" w:rsidRPr="00D20FD5">
      <w:instrText xml:space="preserve">PAGE </w:instrText>
    </w:r>
    <w:r w:rsidR="00F843B9" w:rsidRPr="00D20FD5">
      <w:fldChar w:fldCharType="separate"/>
    </w:r>
    <w:r w:rsidR="00695A76">
      <w:rPr>
        <w:noProof/>
      </w:rPr>
      <w:t>7</w:t>
    </w:r>
    <w:r w:rsidR="00F843B9" w:rsidRPr="00D20FD5">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100A7" w14:textId="045F9EBD" w:rsidR="00F843B9" w:rsidRPr="00D20FD5" w:rsidRDefault="00513F1E" w:rsidP="00A2562F">
    <w:pPr>
      <w:pStyle w:val="Footer"/>
      <w:spacing w:after="0"/>
    </w:pPr>
    <w:r>
      <w:rPr>
        <w:color w:val="000000" w:themeColor="text1"/>
      </w:rPr>
      <w:t>June 2024</w:t>
    </w:r>
    <w:r w:rsidR="00F843B9" w:rsidRPr="00D20FD5">
      <w:tab/>
    </w:r>
    <w:r w:rsidR="00F843B9">
      <w:t xml:space="preserve">              </w:t>
    </w:r>
    <w:r w:rsidR="00F843B9" w:rsidRPr="00D20FD5">
      <w:t>GAO/</w:t>
    </w:r>
    <w:r w:rsidR="00F843B9">
      <w:t>CIGIE</w:t>
    </w:r>
    <w:r w:rsidR="00F843B9" w:rsidRPr="00D20FD5">
      <w:t xml:space="preserve"> Financial Audit Manual</w:t>
    </w:r>
    <w:r w:rsidR="00F843B9" w:rsidRPr="00D20FD5">
      <w:tab/>
      <w:t>Page 360-</w:t>
    </w:r>
    <w:r w:rsidR="00F843B9" w:rsidRPr="00D20FD5">
      <w:fldChar w:fldCharType="begin"/>
    </w:r>
    <w:r w:rsidR="00F843B9" w:rsidRPr="00D20FD5">
      <w:instrText xml:space="preserve">PAGE </w:instrText>
    </w:r>
    <w:r w:rsidR="00F843B9" w:rsidRPr="00D20FD5">
      <w:fldChar w:fldCharType="separate"/>
    </w:r>
    <w:r w:rsidR="009A13D8">
      <w:rPr>
        <w:noProof/>
      </w:rPr>
      <w:t>8</w:t>
    </w:r>
    <w:r w:rsidR="00F843B9" w:rsidRPr="00D20FD5">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FAE00" w14:textId="7B3F8DBC" w:rsidR="00F843B9" w:rsidRPr="00D20FD5" w:rsidRDefault="00513F1E" w:rsidP="00A2562F">
    <w:pPr>
      <w:pStyle w:val="Footer"/>
      <w:spacing w:after="0"/>
    </w:pPr>
    <w:r>
      <w:rPr>
        <w:color w:val="000000" w:themeColor="text1"/>
      </w:rPr>
      <w:t>June 2024</w:t>
    </w:r>
    <w:r w:rsidR="00F843B9" w:rsidRPr="00D20FD5">
      <w:tab/>
    </w:r>
    <w:r w:rsidR="00F843B9">
      <w:t xml:space="preserve">                  </w:t>
    </w:r>
    <w:r w:rsidR="00F843B9" w:rsidRPr="00D20FD5">
      <w:t>GAO/</w:t>
    </w:r>
    <w:r w:rsidR="00F843B9">
      <w:t>CIGIE</w:t>
    </w:r>
    <w:r w:rsidR="00F843B9" w:rsidRPr="00D20FD5">
      <w:t xml:space="preserve"> Financial Audit Manual</w:t>
    </w:r>
    <w:r w:rsidR="00F843B9" w:rsidRPr="00D20FD5">
      <w:tab/>
      <w:t>Page 370-</w:t>
    </w:r>
    <w:r w:rsidR="00F843B9" w:rsidRPr="00D20FD5">
      <w:fldChar w:fldCharType="begin"/>
    </w:r>
    <w:r w:rsidR="00F843B9" w:rsidRPr="00D20FD5">
      <w:instrText xml:space="preserve">PAGE </w:instrText>
    </w:r>
    <w:r w:rsidR="00F843B9" w:rsidRPr="00D20FD5">
      <w:fldChar w:fldCharType="separate"/>
    </w:r>
    <w:r w:rsidR="009A13D8">
      <w:rPr>
        <w:noProof/>
      </w:rPr>
      <w:t>3</w:t>
    </w:r>
    <w:r w:rsidR="00F843B9" w:rsidRPr="00D20FD5">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C1C01" w14:textId="75E6F07C" w:rsidR="00F843B9" w:rsidRPr="00D20FD5" w:rsidRDefault="00513F1E" w:rsidP="00A2562F">
    <w:pPr>
      <w:pStyle w:val="Footer"/>
      <w:spacing w:after="0"/>
    </w:pPr>
    <w:r>
      <w:rPr>
        <w:color w:val="000000" w:themeColor="text1"/>
      </w:rPr>
      <w:t>June 2024</w:t>
    </w:r>
    <w:r w:rsidR="00F843B9" w:rsidRPr="00D20FD5">
      <w:tab/>
    </w:r>
    <w:r w:rsidR="00F843B9">
      <w:t xml:space="preserve">          </w:t>
    </w:r>
    <w:r w:rsidR="00F843B9" w:rsidRPr="00D20FD5">
      <w:t>GAO/</w:t>
    </w:r>
    <w:r w:rsidR="00F843B9">
      <w:t>CIGIE</w:t>
    </w:r>
    <w:r w:rsidR="00F843B9" w:rsidRPr="00D20FD5">
      <w:t xml:space="preserve"> Financial Audit Manual</w:t>
    </w:r>
    <w:r w:rsidR="00F843B9" w:rsidRPr="00D20FD5">
      <w:tab/>
      <w:t>Page 380-</w:t>
    </w:r>
    <w:r w:rsidR="00F843B9" w:rsidRPr="00D20FD5">
      <w:fldChar w:fldCharType="begin"/>
    </w:r>
    <w:r w:rsidR="00F843B9" w:rsidRPr="00D20FD5">
      <w:instrText xml:space="preserve">PAGE </w:instrText>
    </w:r>
    <w:r w:rsidR="00F843B9" w:rsidRPr="00D20FD5">
      <w:fldChar w:fldCharType="separate"/>
    </w:r>
    <w:r w:rsidR="009A13D8">
      <w:rPr>
        <w:noProof/>
      </w:rPr>
      <w:t>1</w:t>
    </w:r>
    <w:r w:rsidR="00F843B9" w:rsidRPr="00D20FD5">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B8F22" w14:textId="48918A2A" w:rsidR="00F843B9" w:rsidRPr="00D20FD5" w:rsidRDefault="00513F1E" w:rsidP="00666BFE">
    <w:pPr>
      <w:pStyle w:val="Footer"/>
      <w:spacing w:before="0" w:after="0"/>
    </w:pPr>
    <w:r>
      <w:rPr>
        <w:color w:val="000000" w:themeColor="text1"/>
      </w:rPr>
      <w:t>June 2024</w:t>
    </w:r>
    <w:r w:rsidR="00F843B9" w:rsidRPr="00D20FD5">
      <w:tab/>
    </w:r>
    <w:r w:rsidR="00F843B9">
      <w:t xml:space="preserve">              </w:t>
    </w:r>
    <w:r w:rsidR="00F843B9" w:rsidRPr="00D20FD5">
      <w:t>GAO/</w:t>
    </w:r>
    <w:r w:rsidR="00F843B9">
      <w:t>CIGIE</w:t>
    </w:r>
    <w:r w:rsidR="00F843B9" w:rsidRPr="00D20FD5">
      <w:t xml:space="preserve"> Financial Audit Manual</w:t>
    </w:r>
    <w:r w:rsidR="00F843B9" w:rsidRPr="00D20FD5">
      <w:tab/>
      <w:t>Page 390-</w:t>
    </w:r>
    <w:r w:rsidR="00F843B9" w:rsidRPr="00D20FD5">
      <w:fldChar w:fldCharType="begin"/>
    </w:r>
    <w:r w:rsidR="00F843B9" w:rsidRPr="00D20FD5">
      <w:instrText xml:space="preserve">PAGE </w:instrText>
    </w:r>
    <w:r w:rsidR="00F843B9" w:rsidRPr="00D20FD5">
      <w:fldChar w:fldCharType="separate"/>
    </w:r>
    <w:r w:rsidR="00695A76">
      <w:rPr>
        <w:noProof/>
      </w:rPr>
      <w:t>3</w:t>
    </w:r>
    <w:r w:rsidR="00F843B9" w:rsidRPr="00D20FD5">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ECEAF" w14:textId="2C767293" w:rsidR="00F843B9" w:rsidRPr="00D20FD5" w:rsidRDefault="00513F1E" w:rsidP="00A2562F">
    <w:pPr>
      <w:pStyle w:val="Footer-landscape-letter"/>
      <w:tabs>
        <w:tab w:val="clear" w:pos="9000"/>
        <w:tab w:val="clear" w:pos="17370"/>
        <w:tab w:val="center" w:pos="6660"/>
        <w:tab w:val="right" w:pos="13320"/>
      </w:tabs>
      <w:spacing w:after="0"/>
    </w:pPr>
    <w:r>
      <w:rPr>
        <w:color w:val="000000" w:themeColor="text1"/>
      </w:rPr>
      <w:t>June 2024</w:t>
    </w:r>
    <w:r w:rsidR="00F843B9" w:rsidRPr="00D20FD5">
      <w:tab/>
      <w:t>GAO/</w:t>
    </w:r>
    <w:r w:rsidR="00F843B9">
      <w:t>CIGIE Financial Audit Manual</w:t>
    </w:r>
    <w:r w:rsidR="00F843B9">
      <w:tab/>
    </w:r>
    <w:r w:rsidR="00F843B9" w:rsidRPr="00D20FD5">
      <w:t>Page 395 A-</w:t>
    </w:r>
    <w:r w:rsidR="00F843B9" w:rsidRPr="00D20FD5">
      <w:fldChar w:fldCharType="begin"/>
    </w:r>
    <w:r w:rsidR="00F843B9" w:rsidRPr="00D20FD5">
      <w:instrText xml:space="preserve">PAGE </w:instrText>
    </w:r>
    <w:r w:rsidR="00F843B9" w:rsidRPr="00D20FD5">
      <w:fldChar w:fldCharType="separate"/>
    </w:r>
    <w:r w:rsidR="00695A76">
      <w:rPr>
        <w:noProof/>
      </w:rPr>
      <w:t>1</w:t>
    </w:r>
    <w:r w:rsidR="00F843B9" w:rsidRPr="00D20FD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394F3" w14:textId="72C8F6E7" w:rsidR="00F843B9" w:rsidRPr="000F7D41" w:rsidRDefault="00F843B9" w:rsidP="00666BFE">
    <w:pPr>
      <w:spacing w:before="0" w:after="0"/>
      <w:rPr>
        <w:b/>
        <w:color w:val="FF0000"/>
      </w:rPr>
    </w:pPr>
    <w:r w:rsidRPr="000F7D41">
      <w:rPr>
        <w:b/>
        <w:noProof/>
        <w:color w:val="FF0000"/>
      </w:rPr>
      <mc:AlternateContent>
        <mc:Choice Requires="wps">
          <w:drawing>
            <wp:anchor distT="0" distB="0" distL="114300" distR="114300" simplePos="0" relativeHeight="251631104" behindDoc="0" locked="0" layoutInCell="1" allowOverlap="1" wp14:anchorId="0BB9D66F" wp14:editId="215DE3D9">
              <wp:simplePos x="0" y="0"/>
              <wp:positionH relativeFrom="column">
                <wp:posOffset>81887</wp:posOffset>
              </wp:positionH>
              <wp:positionV relativeFrom="paragraph">
                <wp:posOffset>-9942</wp:posOffset>
              </wp:positionV>
              <wp:extent cx="5794346" cy="0"/>
              <wp:effectExtent l="0" t="0" r="35560" b="19050"/>
              <wp:wrapNone/>
              <wp:docPr id="5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434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89D464" id="Line 16" o:spid="_x0000_s1026" style="position:absolute;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5pt,-.8pt" to="462.7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7miFQ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TTCUaK&#10;dKDRs1AcZbPQm964AkIqtbWhOnpSr+ZZ0+8OKV21RO155Ph2NpCXhYzkXUrYOAM37PovmkEMOXgd&#10;G3VqbBcgoQXoFPU43/TgJ48oHE4fF/lDPsOIDr6EFEOisc5/5rpDwSixBNIRmByfnQ9ESDGEhHuU&#10;3ggpo9xSob7Ei+lkGhOcloIFZwhzdr+rpEVHEgYmfrEq8NyHWX1QLIK1nLD11fZEyIsNl0sV8KAU&#10;oHO1LhPxY5Eu1vP1PB/lk9l6lKd1Pfq0qfLRbJM9TuuHuqrq7GegluVFKxjjKrAbpjPL/0796zu5&#10;zNVtPm9tSN6jx34B2eEfSUctg3yXQdhpdt7aQWMYyBh8fTxh4u/3YN8/8dUvAAAA//8DAFBLAwQU&#10;AAYACAAAACEAQUCFXtwAAAAIAQAADwAAAGRycy9kb3ducmV2LnhtbEyPwU7DMBBE70j8g7VIXKrW&#10;aYCKhjgVAnLjQgFx3cZLEhGv09htQ7+eRT3AcXZGs2/y1eg6tachtJ4NzGcJKOLK25ZrA2+v5fQW&#10;VIjIFjvPZOCbAqyK87McM+sP/EL7dayVlHDI0EATY59pHaqGHIaZ74nF+/SDwyhyqLUd8CDlrtNp&#10;kiy0w5blQ4M9PTRUfa13zkAo32lbHifVJPm4qj2l28fnJzTm8mK8vwMVaYx/YfjFF3QohGnjd2yD&#10;6kSnS0kamM4XoMRfpjfXoDangy5y/X9A8QMAAP//AwBQSwECLQAUAAYACAAAACEAtoM4kv4AAADh&#10;AQAAEwAAAAAAAAAAAAAAAAAAAAAAW0NvbnRlbnRfVHlwZXNdLnhtbFBLAQItABQABgAIAAAAIQA4&#10;/SH/1gAAAJQBAAALAAAAAAAAAAAAAAAAAC8BAABfcmVscy8ucmVsc1BLAQItABQABgAIAAAAIQAw&#10;J7miFQIAACoEAAAOAAAAAAAAAAAAAAAAAC4CAABkcnMvZTJvRG9jLnhtbFBLAQItABQABgAIAAAA&#10;IQBBQIVe3AAAAAgBAAAPAAAAAAAAAAAAAAAAAG8EAABkcnMvZG93bnJldi54bWxQSwUGAAAAAAQA&#10;BADzAAAAeAUAAAAA&#10;"/>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0C0F5" w14:textId="09A5657D" w:rsidR="00F843B9" w:rsidRPr="00D20FD5" w:rsidRDefault="00513F1E" w:rsidP="00A2562F">
    <w:pPr>
      <w:pStyle w:val="Footer"/>
      <w:spacing w:after="0"/>
    </w:pPr>
    <w:r>
      <w:rPr>
        <w:color w:val="000000" w:themeColor="text1"/>
      </w:rPr>
      <w:t>June 2024</w:t>
    </w:r>
    <w:r w:rsidR="00F843B9" w:rsidRPr="00D20FD5">
      <w:tab/>
    </w:r>
    <w:r w:rsidR="00F843B9">
      <w:t xml:space="preserve">              </w:t>
    </w:r>
    <w:r w:rsidR="00F843B9" w:rsidRPr="00D20FD5">
      <w:t>GAO/</w:t>
    </w:r>
    <w:r w:rsidR="00F843B9">
      <w:t>CIGIE</w:t>
    </w:r>
    <w:r w:rsidR="00F843B9" w:rsidRPr="00D20FD5">
      <w:t xml:space="preserve"> Financial Audit Manual</w:t>
    </w:r>
    <w:r w:rsidR="00F843B9" w:rsidRPr="00D20FD5">
      <w:tab/>
      <w:t>Page 395 B-</w:t>
    </w:r>
    <w:r w:rsidR="00F843B9" w:rsidRPr="00D20FD5">
      <w:fldChar w:fldCharType="begin"/>
    </w:r>
    <w:r w:rsidR="00F843B9" w:rsidRPr="00D20FD5">
      <w:instrText xml:space="preserve">PAGE </w:instrText>
    </w:r>
    <w:r w:rsidR="00F843B9" w:rsidRPr="00D20FD5">
      <w:fldChar w:fldCharType="separate"/>
    </w:r>
    <w:r w:rsidR="00695A76">
      <w:rPr>
        <w:noProof/>
      </w:rPr>
      <w:t>5</w:t>
    </w:r>
    <w:r w:rsidR="00F843B9" w:rsidRPr="00D20FD5">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6B4FE" w14:textId="77777777" w:rsidR="00F843B9" w:rsidRDefault="00F843B9" w:rsidP="00CC5F9D">
    <w:pPr>
      <w:pStyle w:val="Header"/>
    </w:pPr>
  </w:p>
  <w:p w14:paraId="38EA395C" w14:textId="77777777" w:rsidR="00F843B9" w:rsidRDefault="00F843B9" w:rsidP="008B6636">
    <w:r>
      <w:rPr>
        <w:noProof/>
      </w:rPr>
      <mc:AlternateContent>
        <mc:Choice Requires="wps">
          <w:drawing>
            <wp:anchor distT="0" distB="0" distL="114300" distR="114300" simplePos="0" relativeHeight="251654656" behindDoc="1" locked="1" layoutInCell="1" allowOverlap="1" wp14:anchorId="1E1FF985" wp14:editId="4BB429C0">
              <wp:simplePos x="0" y="0"/>
              <wp:positionH relativeFrom="page">
                <wp:posOffset>1384935</wp:posOffset>
              </wp:positionH>
              <wp:positionV relativeFrom="paragraph">
                <wp:posOffset>2540</wp:posOffset>
              </wp:positionV>
              <wp:extent cx="5486400" cy="12065"/>
              <wp:effectExtent l="3810" t="2540" r="0" b="4445"/>
              <wp:wrapNone/>
              <wp:docPr id="31"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49072D" id="Rectangle 46" o:spid="_x0000_s1026" style="position:absolute;margin-left:109.05pt;margin-top:.2pt;width:6in;height:.9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Z6/dAIAAPkEAAAOAAAAZHJzL2Uyb0RvYy54bWysVFFv0zAQfkfiP1h+75IUt2uiptPWUYQ0&#10;YGLwA1zbaSwc29hu0w3x3zk7bengZUL0wfXlzufvvvvO86t9p9BOOC+NrnFxkWMkNDNc6k2Nv35Z&#10;jWYY+UA1p8poUeNH4fHV4vWreW8rMTatUVw4BEm0r3pb4zYEW2WZZ63oqL8wVmhwNsZ1NIDpNhl3&#10;tIfsncrGeT7NeuO4dYYJ7+Hr7eDEi5S/aQQLn5rGi4BUjQFbSKtL6zqu2WJOq42jtpXsAIP+A4qO&#10;Sg2XnlLd0kDR1sm/UnWSOeNNEy6Y6TLTNJKJVANUU+R/VPPQUitSLUCOtyea/P9Lyz7u7h2SvMZv&#10;Cow07aBHn4E1qjdKIDKNBPXWVxD3YO9dLNHbO8O+eaTNsoUwce2c6VtBOcAqYnz27EA0PBxF6/6D&#10;4ZCeboNJXO0b18WEwALap5Y8nloi9gEx+DghsynJoXMMfMU4n07SDbQ6HrbOh3fCdChuauwAe0pO&#10;d3c+RDC0OoYk8EZJvpJKJcNt1kvl0I5GdaTfIbs/D1M6BmsTjw0Zhy+AEe6Ivog2dftHWYxJfjMu&#10;R6vp7HJEVmQyKi/z2SgvyptympOS3K5+RoAFqVrJudB3Uouj8gryss4eZmDQTNIe6iN1qahz6P5l&#10;FXYywBQq2dV4dqKBVrGpbzWHmmkVqFTDPnuOPVEMBBz/EyVJArHrg3rWhj+CApyBDkEv4b2ATWvc&#10;E0Y9zF6N/fctdQIj9V6DisqCkDisySCTyzEY7tyzPvdQzSBVjQNGw3YZhgHfWic3LdxUJGK0uQbl&#10;NTKpIqpyQHXQK8xXquDwFsQBPrdT1O8Xa/ELAAD//wMAUEsDBBQABgAIAAAAIQDFTfz92AAAAAcB&#10;AAAPAAAAZHJzL2Rvd25yZXYueG1sTI5NT8MwEETvSPwHaytxo85HiaIQpwIkrkgNXLg58ZJEjdcm&#10;dtvw79me4Dh6o5lX71c7izMuYXKkIN0mIJB6ZyYaFHy8v96XIELUZPTsCBX8YIB9c3tT68q4Cx3w&#10;3MZB8AiFSisYY/SVlKEf0eqwdR6J2ZdbrI4cl0GaRV943M4yS5JCWj0RP4za48uI/bE9Wf79zNvE&#10;l9/PA9m33aErfN4VD0rdbdanRxAR1/hXhqs+q0PDTp07kQliVpClZcpVBTsQV5yUGeeOQQ6yqeV/&#10;/+YXAAD//wMAUEsBAi0AFAAGAAgAAAAhALaDOJL+AAAA4QEAABMAAAAAAAAAAAAAAAAAAAAAAFtD&#10;b250ZW50X1R5cGVzXS54bWxQSwECLQAUAAYACAAAACEAOP0h/9YAAACUAQAACwAAAAAAAAAAAAAA&#10;AAAvAQAAX3JlbHMvLnJlbHNQSwECLQAUAAYACAAAACEAl7mev3QCAAD5BAAADgAAAAAAAAAAAAAA&#10;AAAuAgAAZHJzL2Uyb0RvYy54bWxQSwECLQAUAAYACAAAACEAxU38/dgAAAAHAQAADwAAAAAAAAAA&#10;AAAAAADOBAAAZHJzL2Rvd25yZXYueG1sUEsFBgAAAAAEAAQA8wAAANMFAAAAAA==&#10;" fillcolor="black" stroked="f" strokeweight="0">
              <w10:wrap anchorx="page"/>
              <w10:anchorlock/>
            </v:rect>
          </w:pict>
        </mc:Fallback>
      </mc:AlternateContent>
    </w:r>
  </w:p>
  <w:p w14:paraId="0CA74409" w14:textId="77777777" w:rsidR="00F843B9" w:rsidRDefault="00F843B9" w:rsidP="008B6636">
    <w:r>
      <w:t>July 2001</w:t>
    </w:r>
    <w:r>
      <w:tab/>
      <w:t>GAO/PCIE Financial Audit Manual</w:t>
    </w:r>
    <w:r>
      <w:tab/>
      <w:t>Page 395 C-</w:t>
    </w:r>
    <w:r>
      <w:fldChar w:fldCharType="begin"/>
    </w:r>
    <w:r>
      <w:instrText xml:space="preserve">PAGE </w:instrText>
    </w:r>
    <w:r>
      <w:fldChar w:fldCharType="separate"/>
    </w:r>
    <w:r>
      <w:rPr>
        <w:noProof/>
      </w:rPr>
      <w:t>6</w:t>
    </w:r>
    <w:r>
      <w:rPr>
        <w:noProof/>
      </w:rP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BA200" w14:textId="2A04B182" w:rsidR="00F843B9" w:rsidRPr="00D20FD5" w:rsidRDefault="00513F1E" w:rsidP="00A2562F">
    <w:pPr>
      <w:pStyle w:val="Footer"/>
      <w:spacing w:after="0"/>
    </w:pPr>
    <w:r>
      <w:rPr>
        <w:color w:val="000000" w:themeColor="text1"/>
      </w:rPr>
      <w:t>June 2024</w:t>
    </w:r>
    <w:r w:rsidR="00F843B9" w:rsidRPr="00D20FD5">
      <w:tab/>
    </w:r>
    <w:r w:rsidR="00F843B9">
      <w:t xml:space="preserve">          </w:t>
    </w:r>
    <w:r w:rsidR="00F843B9" w:rsidRPr="00D20FD5">
      <w:t>GAO/</w:t>
    </w:r>
    <w:r w:rsidR="00F843B9">
      <w:t>CIGIE</w:t>
    </w:r>
    <w:r w:rsidR="00F843B9" w:rsidRPr="00D20FD5">
      <w:t xml:space="preserve"> Financial Audit Manual</w:t>
    </w:r>
    <w:r w:rsidR="00F843B9" w:rsidRPr="00D20FD5">
      <w:tab/>
      <w:t>Page 395 C-</w:t>
    </w:r>
    <w:r w:rsidR="00F843B9" w:rsidRPr="00D20FD5">
      <w:fldChar w:fldCharType="begin"/>
    </w:r>
    <w:r w:rsidR="00F843B9" w:rsidRPr="00D20FD5">
      <w:instrText xml:space="preserve">PAGE </w:instrText>
    </w:r>
    <w:r w:rsidR="00F843B9" w:rsidRPr="00D20FD5">
      <w:fldChar w:fldCharType="separate"/>
    </w:r>
    <w:r w:rsidR="00695A76">
      <w:rPr>
        <w:noProof/>
      </w:rPr>
      <w:t>5</w:t>
    </w:r>
    <w:r w:rsidR="00F843B9" w:rsidRPr="00D20FD5">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A1A5F" w14:textId="77777777" w:rsidR="00F843B9" w:rsidRDefault="00F843B9" w:rsidP="00CC5F9D">
    <w:pPr>
      <w:pStyle w:val="Header"/>
    </w:pPr>
  </w:p>
  <w:p w14:paraId="7AF28F64" w14:textId="77777777" w:rsidR="00F843B9" w:rsidRDefault="00F843B9" w:rsidP="008B6636">
    <w:r>
      <w:rPr>
        <w:noProof/>
      </w:rPr>
      <mc:AlternateContent>
        <mc:Choice Requires="wps">
          <w:drawing>
            <wp:anchor distT="0" distB="0" distL="114300" distR="114300" simplePos="0" relativeHeight="251653632" behindDoc="1" locked="1" layoutInCell="0" allowOverlap="1" wp14:anchorId="49DC4244" wp14:editId="21E71926">
              <wp:simplePos x="0" y="0"/>
              <wp:positionH relativeFrom="page">
                <wp:posOffset>1600200</wp:posOffset>
              </wp:positionH>
              <wp:positionV relativeFrom="paragraph">
                <wp:posOffset>0</wp:posOffset>
              </wp:positionV>
              <wp:extent cx="5486400" cy="12065"/>
              <wp:effectExtent l="0" t="0" r="0" b="0"/>
              <wp:wrapNone/>
              <wp:docPr id="28"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658382" id="Rectangle 45" o:spid="_x0000_s1026" style="position:absolute;margin-left:126pt;margin-top:0;width:6in;height:.9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QZIdAIAAPk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3AJ&#10;ndK0hx59Atao3iiByDQSNFhfQ9yjfXCxRG/vDfvqkTa3HYSJa+fM0AnKAVYR47NnB6Lh4ShaD+8N&#10;h/R0G0ziat+6PiYEFtA+teTp1BKxD4jBxymZz0gOnWPgK8p8lhBltD4ets6Ht8L0KG4a7AB7Sk53&#10;9z5EMLQ+hiTwRkm+kkolw23Wt8qhHY3qSL+EH2o8D1M6BmsTj40Zxy+AEe6Ivog2dftHVZQkvymr&#10;yWo2v5yQFZlOqst8PsmL6qaa5aQid6ufEWBB6k5yLvS91OKovIK8rLOHGRg1k7SHhkhdKuocun9Z&#10;hb0MMIVK9g2en2igdWzqG82hZloHKtW4z55jTxQDAcf/REmSQOz6qJ614U+gAGegQ9BLeC9g0xn3&#10;HaMBZq/B/tuWOoGReqdBRVVBSBzWZJDpZQmGO/eszz1UM0jV4IDRuL0N44BvrZObDm4qEjHaXIPy&#10;WplUEVU5ojroFeYrVXB4C+IAn9sp6veLtfwF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cMkGSH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4673EA36" w14:textId="77777777" w:rsidR="00F843B9" w:rsidRDefault="00F843B9" w:rsidP="008B6636">
    <w:r>
      <w:t>July 2001</w:t>
    </w:r>
    <w:r>
      <w:tab/>
      <w:t>GAO/PCIE Financial Audit Manual</w:t>
    </w:r>
    <w:r>
      <w:tab/>
      <w:t>Page 395 C-</w:t>
    </w:r>
    <w:r>
      <w:fldChar w:fldCharType="begin"/>
    </w:r>
    <w:r>
      <w:instrText xml:space="preserve">PAGE </w:instrText>
    </w:r>
    <w:r>
      <w:fldChar w:fldCharType="separate"/>
    </w:r>
    <w:r>
      <w:rPr>
        <w:noProof/>
      </w:rPr>
      <w:t>1</w:t>
    </w:r>
    <w:r>
      <w:rPr>
        <w:noProof/>
      </w:rP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C078D" w14:textId="43C5AEFF" w:rsidR="00F843B9" w:rsidRPr="00D20FD5" w:rsidRDefault="00513F1E" w:rsidP="00666BFE">
    <w:pPr>
      <w:pStyle w:val="Footer"/>
      <w:spacing w:before="0" w:after="0"/>
    </w:pPr>
    <w:r>
      <w:rPr>
        <w:color w:val="000000" w:themeColor="text1"/>
      </w:rPr>
      <w:t>June 2024</w:t>
    </w:r>
    <w:r w:rsidR="00F843B9">
      <w:tab/>
      <w:t xml:space="preserve">           GAO/</w:t>
    </w:r>
    <w:r w:rsidR="00F843B9" w:rsidRPr="00D20FD5">
      <w:t>C</w:t>
    </w:r>
    <w:r w:rsidR="00F843B9">
      <w:t>IG</w:t>
    </w:r>
    <w:r w:rsidR="00F843B9" w:rsidRPr="00D20FD5">
      <w:t>IE Financial Audit Manual</w:t>
    </w:r>
    <w:r w:rsidR="00F843B9" w:rsidRPr="00D20FD5">
      <w:tab/>
      <w:t>Page 395 D-</w:t>
    </w:r>
    <w:r w:rsidR="00F843B9" w:rsidRPr="00D20FD5">
      <w:fldChar w:fldCharType="begin"/>
    </w:r>
    <w:r w:rsidR="00F843B9" w:rsidRPr="00D20FD5">
      <w:instrText xml:space="preserve">PAGE </w:instrText>
    </w:r>
    <w:r w:rsidR="00F843B9" w:rsidRPr="00D20FD5">
      <w:fldChar w:fldCharType="separate"/>
    </w:r>
    <w:r w:rsidR="009A13D8">
      <w:rPr>
        <w:noProof/>
      </w:rPr>
      <w:t>1</w:t>
    </w:r>
    <w:r w:rsidR="00F843B9" w:rsidRPr="00D20FD5">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A1FC2" w14:textId="77777777" w:rsidR="00F843B9" w:rsidRDefault="00F843B9" w:rsidP="00CC5F9D">
    <w:pPr>
      <w:pStyle w:val="Header"/>
    </w:pPr>
  </w:p>
  <w:p w14:paraId="3CC115FE" w14:textId="77777777" w:rsidR="00F843B9" w:rsidRDefault="00F843B9" w:rsidP="008B6636">
    <w:r>
      <w:rPr>
        <w:noProof/>
      </w:rPr>
      <mc:AlternateContent>
        <mc:Choice Requires="wps">
          <w:drawing>
            <wp:anchor distT="0" distB="0" distL="114300" distR="114300" simplePos="0" relativeHeight="251660800" behindDoc="1" locked="1" layoutInCell="1" allowOverlap="1" wp14:anchorId="0EE51CF6" wp14:editId="0694D44D">
              <wp:simplePos x="0" y="0"/>
              <wp:positionH relativeFrom="page">
                <wp:posOffset>1384935</wp:posOffset>
              </wp:positionH>
              <wp:positionV relativeFrom="paragraph">
                <wp:posOffset>2540</wp:posOffset>
              </wp:positionV>
              <wp:extent cx="5486400" cy="12065"/>
              <wp:effectExtent l="3810" t="2540" r="0" b="4445"/>
              <wp:wrapNone/>
              <wp:docPr id="25"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E4ACC0" id="Rectangle 52" o:spid="_x0000_s1026" style="position:absolute;margin-left:109.05pt;margin-top:.2pt;width:6in;height:.9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40idAIAAPkEAAAOAAAAZHJzL2Uyb0RvYy54bWysVNuO0zAQfUfiHyy/d3NR2m2ipqu9UIRU&#10;YMXCB7i2k1g4trHdpgXx74ydtnThZYXog+vJjMdnzpzx4mbfS7Tj1gmtapxdpRhxRTUTqq3xl8+r&#10;yRwj54liRGrFa3zgDt8sX79aDKbiue60ZNwiSKJcNZgad96bKkkc7XhP3JU2XIGz0bYnHkzbJsyS&#10;AbL3MsnTdJYM2jJjNeXOwdeH0YmXMX/TcOo/No3jHskaAzYfVxvXTViT5YJUrSWmE/QIg/wDip4I&#10;BZeeUz0QT9DWir9S9YJa7XTjr6juE900gvJYA1STpX9U89QRw2MtQI4zZ5rc/0tLP+weLRKsxvkU&#10;I0V66NEnYI2oVnI0zQNBg3EVxD2ZRxtKdGat6VeHlL7vIIzfWquHjhMGsLIQnzw7EAwHR9FmeK8Z&#10;pCdbryNX+8b2ISGwgPaxJYdzS/jeIwofp8V8VqTQOQq+LE9n03gDqU6HjXX+Ldc9CpsaW8Aek5Pd&#10;2vkAhlSnkAheS8FWQspo2HZzLy3akaCO+Dtmd5dhUoVgpcOxMeP4BTDCHcEX0MZu/yizvEjv8nKy&#10;ms2vJ8WqmE7K63Q+SbPyrpylRVk8rH4GgFlRdYIxrtZC8ZPysuJlnT3OwKiZqD00BOpiUZfQ3csq&#10;7IWHKZSir/H8TAOpQlPfKAY1k8oTIcd98hx7pBgIOP1HSqIEQtdH9Ww0O4ACrIYOQS/hvYBNp+13&#10;jAaYvRq7b1tiOUbynQIVlVlRhGGNRjG9zsGwl57NpYcoCqlq7DEat/d+HPCtsaLt4KYsEqP0LSiv&#10;EVEVQZUjqqNeYb5iBce3IAzwpR2jfr9Yy18AAAD//wMAUEsDBBQABgAIAAAAIQDFTfz92AAAAAcB&#10;AAAPAAAAZHJzL2Rvd25yZXYueG1sTI5NT8MwEETvSPwHaytxo85HiaIQpwIkrkgNXLg58ZJEjdcm&#10;dtvw79me4Dh6o5lX71c7izMuYXKkIN0mIJB6ZyYaFHy8v96XIELUZPTsCBX8YIB9c3tT68q4Cx3w&#10;3MZB8AiFSisYY/SVlKEf0eqwdR6J2ZdbrI4cl0GaRV943M4yS5JCWj0RP4za48uI/bE9Wf79zNvE&#10;l9/PA9m33aErfN4VD0rdbdanRxAR1/hXhqs+q0PDTp07kQliVpClZcpVBTsQV5yUGeeOQQ6yqeV/&#10;/+YXAAD//wMAUEsBAi0AFAAGAAgAAAAhALaDOJL+AAAA4QEAABMAAAAAAAAAAAAAAAAAAAAAAFtD&#10;b250ZW50X1R5cGVzXS54bWxQSwECLQAUAAYACAAAACEAOP0h/9YAAACUAQAACwAAAAAAAAAAAAAA&#10;AAAvAQAAX3JlbHMvLnJlbHNQSwECLQAUAAYACAAAACEA/F+NInQCAAD5BAAADgAAAAAAAAAAAAAA&#10;AAAuAgAAZHJzL2Uyb0RvYy54bWxQSwECLQAUAAYACAAAACEAxU38/dgAAAAHAQAADwAAAAAAAAAA&#10;AAAAAADOBAAAZHJzL2Rvd25yZXYueG1sUEsFBgAAAAAEAAQA8wAAANMFAAAAAA==&#10;" fillcolor="black" stroked="f" strokeweight="0">
              <w10:wrap anchorx="page"/>
              <w10:anchorlock/>
            </v:rect>
          </w:pict>
        </mc:Fallback>
      </mc:AlternateContent>
    </w:r>
  </w:p>
  <w:p w14:paraId="567573CF" w14:textId="77777777" w:rsidR="00F843B9" w:rsidRDefault="00F843B9" w:rsidP="008B6636">
    <w:r>
      <w:t>July 2001</w:t>
    </w:r>
    <w:r>
      <w:tab/>
      <w:t>GAO/PCIE Financial Audit Manual</w:t>
    </w:r>
    <w:r>
      <w:tab/>
      <w:t>Page 395 E-</w:t>
    </w:r>
    <w:r>
      <w:fldChar w:fldCharType="begin"/>
    </w:r>
    <w:r>
      <w:instrText xml:space="preserve">PAGE </w:instrText>
    </w:r>
    <w:r>
      <w:fldChar w:fldCharType="separate"/>
    </w:r>
    <w:r>
      <w:rPr>
        <w:noProof/>
      </w:rPr>
      <w:t>4</w:t>
    </w:r>
    <w:r>
      <w:rPr>
        <w:noProof/>
      </w:rPr>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B8BA5" w14:textId="0BF699A4" w:rsidR="00F843B9" w:rsidRPr="00DC0634" w:rsidRDefault="00513F1E" w:rsidP="00A2562F">
    <w:pPr>
      <w:pStyle w:val="Footer"/>
      <w:spacing w:after="0"/>
      <w:rPr>
        <w:b/>
        <w:color w:val="FF0000"/>
      </w:rPr>
    </w:pPr>
    <w:r>
      <w:rPr>
        <w:color w:val="000000" w:themeColor="text1"/>
      </w:rPr>
      <w:t>June 2024</w:t>
    </w:r>
    <w:r w:rsidR="00F843B9">
      <w:rPr>
        <w:lang w:val="pt-BR"/>
      </w:rPr>
      <w:tab/>
      <w:t xml:space="preserve">           </w:t>
    </w:r>
    <w:r w:rsidR="00F843B9">
      <w:rPr>
        <w:lang w:val="pt-BR"/>
      </w:rPr>
      <w:t>GAO/</w:t>
    </w:r>
    <w:r w:rsidR="00F843B9" w:rsidRPr="00D20FD5">
      <w:rPr>
        <w:lang w:val="pt-BR"/>
      </w:rPr>
      <w:t>C</w:t>
    </w:r>
    <w:r w:rsidR="00F843B9">
      <w:rPr>
        <w:lang w:val="pt-BR"/>
      </w:rPr>
      <w:t>IG</w:t>
    </w:r>
    <w:r w:rsidR="00F843B9" w:rsidRPr="00D20FD5">
      <w:rPr>
        <w:lang w:val="pt-BR"/>
      </w:rPr>
      <w:t>IE Financial Audit Manual</w:t>
    </w:r>
    <w:r w:rsidR="00F843B9" w:rsidRPr="00D20FD5">
      <w:rPr>
        <w:lang w:val="pt-BR"/>
      </w:rPr>
      <w:tab/>
      <w:t>Page 395 E-</w:t>
    </w:r>
    <w:r w:rsidR="00F843B9" w:rsidRPr="00D20FD5">
      <w:fldChar w:fldCharType="begin"/>
    </w:r>
    <w:r w:rsidR="00F843B9" w:rsidRPr="00D20FD5">
      <w:rPr>
        <w:lang w:val="pt-BR"/>
      </w:rPr>
      <w:instrText xml:space="preserve">PAGE </w:instrText>
    </w:r>
    <w:r w:rsidR="00F843B9" w:rsidRPr="00D20FD5">
      <w:fldChar w:fldCharType="separate"/>
    </w:r>
    <w:r w:rsidR="00F61141">
      <w:rPr>
        <w:noProof/>
        <w:lang w:val="pt-BR"/>
      </w:rPr>
      <w:t>4</w:t>
    </w:r>
    <w:r w:rsidR="00F843B9" w:rsidRPr="00D20FD5">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6D0BC" w14:textId="77777777" w:rsidR="00F843B9" w:rsidRDefault="00F843B9" w:rsidP="00CC5F9D">
    <w:pPr>
      <w:pStyle w:val="Header"/>
    </w:pPr>
  </w:p>
  <w:p w14:paraId="27E2C0FF" w14:textId="77777777" w:rsidR="00F843B9" w:rsidRDefault="00F843B9" w:rsidP="008B6636">
    <w:r>
      <w:rPr>
        <w:noProof/>
      </w:rPr>
      <mc:AlternateContent>
        <mc:Choice Requires="wps">
          <w:drawing>
            <wp:anchor distT="0" distB="0" distL="114300" distR="114300" simplePos="0" relativeHeight="251659776" behindDoc="1" locked="1" layoutInCell="0" allowOverlap="1" wp14:anchorId="679536B0" wp14:editId="625FE9AF">
              <wp:simplePos x="0" y="0"/>
              <wp:positionH relativeFrom="page">
                <wp:posOffset>1600200</wp:posOffset>
              </wp:positionH>
              <wp:positionV relativeFrom="paragraph">
                <wp:posOffset>0</wp:posOffset>
              </wp:positionV>
              <wp:extent cx="5486400" cy="12065"/>
              <wp:effectExtent l="0" t="0" r="0" b="0"/>
              <wp:wrapNone/>
              <wp:docPr id="22"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5C5D59" id="Rectangle 51" o:spid="_x0000_s1026" style="position:absolute;margin-left:126pt;margin-top:0;width:6in;height:.9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Ol8cwIAAPkEAAAOAAAAZHJzL2Uyb0RvYy54bWysVNuO0zAQfUfiHyy/d3NR2m2ipqu9UIRU&#10;YMXCB7i2k1g4trHdpgXx74ydtnThZYXog+vJjI/PnJnx4mbfS7Tj1gmtapxdpRhxRTUTqq3xl8+r&#10;yRwj54liRGrFa3zgDt8sX79aDKbiue60ZNwiAFGuGkyNO+9NlSSOdrwn7kobrsDZaNsTD6ZtE2bJ&#10;AOi9TPI0nSWDtsxYTblz8PVhdOJlxG8aTv3HpnHcI1lj4ObjauO6CWuyXJCqtcR0gh5pkH9g0ROh&#10;4NIz1APxBG2t+AuqF9Rqpxt/RXWf6KYRlMccIJss/SObp44YHnMBcZw5y+T+Hyz9sHu0SLAa5zlG&#10;ivRQo0+gGlGt5GiaBYEG4yqIezKPNqTozFrTrw4pfd9BGL+1Vg8dJwxoxfjk2YFgODiKNsN7zQCe&#10;bL2OWu0b2wdAUAHtY0kO55LwvUcUPk6L+axIoXIUfFmezqaBUUKq02FjnX/LdY/CpsYWuEdwsls7&#10;P4aeQiJ5LQVbCSmjYdvNvbRoR0J3xN8R3V2GSRWClQ7HRsTxC3CEO4IvsI3V/lFmeZHe5eVkNZtf&#10;T4pVMZ2U1+l8kmblXTlLi7J4WP0MBLOi6gRjXK2F4qfOy4qXVfY4A2PPxN5DQ5AuJnVJ3b0sw154&#10;mEIp+hrPzzKQKhT1jWKQM6k8EXLcJ8+5x2qAAKf/KElsgVD1sXs2mh2gA6yGCkEt4b2ATaftd4wG&#10;mL0au29bYjlG8p2CLiqzogjDGo1iep2DYS89m0sPURSgauwxGrf3fhzwrbGi7eCmLAqj9C10XiNi&#10;V4SuHFkB72DAfMUMjm9BGOBLO0b9frGWvwAAAP//AwBQSwMEFAAGAAgAAAAhAGR34yzbAAAABwEA&#10;AA8AAABkcnMvZG93bnJldi54bWxMj0FPwzAMhe9I+w+RJ3FjabutGqXpBEhcJ63jwi1tTFvROKHJ&#10;tvLv8U5wsZ71rPc+l/vZjuKCUxgcKUhXCQik1pmBOgXvp7eHHYgQNRk9OkIFPxhgXy3uSl0Yd6Uj&#10;XurYCQ6hUGgFfYy+kDK0PVodVs4jsffpJqsjr1MnzaSvHG5HmSVJLq0eiBt67fG1x/arPlvu/VjX&#10;id99v3RkD5tjk/t1k2+Vul/Oz08gIs7x7xhu+IwOFTM17kwmiFFBts34l6iA581O05xVw+oRZFXK&#10;//zVLwAAAP//AwBQSwECLQAUAAYACAAAACEAtoM4kv4AAADhAQAAEwAAAAAAAAAAAAAAAAAAAAAA&#10;W0NvbnRlbnRfVHlwZXNdLnhtbFBLAQItABQABgAIAAAAIQA4/SH/1gAAAJQBAAALAAAAAAAAAAAA&#10;AAAAAC8BAABfcmVscy8ucmVsc1BLAQItABQABgAIAAAAIQCzpOl8cwIAAPkEAAAOAAAAAAAAAAAA&#10;AAAAAC4CAABkcnMvZTJvRG9jLnhtbFBLAQItABQABgAIAAAAIQBkd+Ms2wAAAAcBAAAPAAAAAAAA&#10;AAAAAAAAAM0EAABkcnMvZG93bnJldi54bWxQSwUGAAAAAAQABADzAAAA1QUAAAAA&#10;" o:allowincell="f" fillcolor="black" stroked="f" strokeweight="0">
              <w10:wrap anchorx="page"/>
              <w10:anchorlock/>
            </v:rect>
          </w:pict>
        </mc:Fallback>
      </mc:AlternateContent>
    </w:r>
  </w:p>
  <w:p w14:paraId="4112C47D" w14:textId="77777777" w:rsidR="00F843B9" w:rsidRDefault="00F843B9" w:rsidP="008B6636">
    <w:r>
      <w:t>July 2001</w:t>
    </w:r>
    <w:r>
      <w:tab/>
      <w:t>GAO/PCIE Financial Audit Manual</w:t>
    </w:r>
    <w:r>
      <w:tab/>
      <w:t>Page 395 E-</w:t>
    </w:r>
    <w:r>
      <w:fldChar w:fldCharType="begin"/>
    </w:r>
    <w:r>
      <w:instrText xml:space="preserve">PAGE </w:instrText>
    </w:r>
    <w:r>
      <w:fldChar w:fldCharType="separate"/>
    </w:r>
    <w:r>
      <w:rPr>
        <w:noProof/>
      </w:rPr>
      <w:t>1</w:t>
    </w:r>
    <w:r>
      <w:rPr>
        <w:noProof/>
      </w:rP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2BCEB" w14:textId="1B15B27E" w:rsidR="00F843B9" w:rsidRPr="00D20FD5" w:rsidRDefault="00513F1E" w:rsidP="00A2562F">
    <w:pPr>
      <w:pStyle w:val="Footer"/>
      <w:spacing w:after="0"/>
      <w:rPr>
        <w:lang w:val="pt-BR"/>
      </w:rPr>
    </w:pPr>
    <w:r>
      <w:rPr>
        <w:color w:val="000000" w:themeColor="text1"/>
      </w:rPr>
      <w:t>June 2024</w:t>
    </w:r>
    <w:r w:rsidR="00F843B9">
      <w:rPr>
        <w:lang w:val="pt-BR"/>
      </w:rPr>
      <w:tab/>
      <w:t xml:space="preserve">               </w:t>
    </w:r>
    <w:r w:rsidR="00F843B9">
      <w:rPr>
        <w:lang w:val="pt-BR"/>
      </w:rPr>
      <w:t>GAO/</w:t>
    </w:r>
    <w:r w:rsidR="00F843B9" w:rsidRPr="00D20FD5">
      <w:rPr>
        <w:lang w:val="pt-BR"/>
      </w:rPr>
      <w:t>C</w:t>
    </w:r>
    <w:r w:rsidR="00F843B9">
      <w:rPr>
        <w:lang w:val="pt-BR"/>
      </w:rPr>
      <w:t>IG</w:t>
    </w:r>
    <w:r w:rsidR="00F843B9" w:rsidRPr="00D20FD5">
      <w:rPr>
        <w:lang w:val="pt-BR"/>
      </w:rPr>
      <w:t>IE Financial Audit Manual</w:t>
    </w:r>
    <w:r w:rsidR="00F843B9" w:rsidRPr="00D20FD5">
      <w:rPr>
        <w:lang w:val="pt-BR"/>
      </w:rPr>
      <w:tab/>
      <w:t>Page 395 F-</w:t>
    </w:r>
    <w:r w:rsidR="00F843B9" w:rsidRPr="00D20FD5">
      <w:fldChar w:fldCharType="begin"/>
    </w:r>
    <w:r w:rsidR="00F843B9" w:rsidRPr="00D20FD5">
      <w:rPr>
        <w:lang w:val="pt-BR"/>
      </w:rPr>
      <w:instrText xml:space="preserve">PAGE </w:instrText>
    </w:r>
    <w:r w:rsidR="00F843B9" w:rsidRPr="00D20FD5">
      <w:fldChar w:fldCharType="separate"/>
    </w:r>
    <w:r w:rsidR="00F61141">
      <w:rPr>
        <w:noProof/>
        <w:lang w:val="pt-BR"/>
      </w:rPr>
      <w:t>9</w:t>
    </w:r>
    <w:r w:rsidR="00F843B9" w:rsidRPr="00D20FD5">
      <w:fldChar w:fldCharType="end"/>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BC884" w14:textId="77777777" w:rsidR="00F843B9" w:rsidRDefault="00F843B9" w:rsidP="00CC5F9D">
    <w:pPr>
      <w:pStyle w:val="Header"/>
    </w:pPr>
  </w:p>
  <w:p w14:paraId="2A381F3C" w14:textId="77777777" w:rsidR="00F843B9" w:rsidRDefault="00F843B9" w:rsidP="008B6636">
    <w:r>
      <w:rPr>
        <w:noProof/>
      </w:rPr>
      <mc:AlternateContent>
        <mc:Choice Requires="wps">
          <w:drawing>
            <wp:anchor distT="0" distB="0" distL="114300" distR="114300" simplePos="0" relativeHeight="251678208" behindDoc="0" locked="0" layoutInCell="1" allowOverlap="1" wp14:anchorId="1A4752E1" wp14:editId="3D432F98">
              <wp:simplePos x="0" y="0"/>
              <wp:positionH relativeFrom="column">
                <wp:posOffset>699135</wp:posOffset>
              </wp:positionH>
              <wp:positionV relativeFrom="paragraph">
                <wp:posOffset>2540</wp:posOffset>
              </wp:positionV>
              <wp:extent cx="5486400" cy="0"/>
              <wp:effectExtent l="13335" t="12065" r="5715" b="6985"/>
              <wp:wrapNone/>
              <wp:docPr id="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6B9C82" id="Line 69" o:spid="_x0000_s1026" style="position:absolute;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05pt,.2pt" to="487.0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KABEw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zRWhNb1wBEZXa2VAcPasXs9X0u0NKVy1RBx4pvl4M5GUhI3mTEjbOwAX7/rNmEEOOXsc+&#10;nRvbBUjoADpHOS53OfjZIwqH03w+y1NQjQ6+hBRDorHOf+K6Q8EosQTSEZicts4HIqQYQsI9Sm+E&#10;lFFtqVBf4sV0Mo0JTkvBgjOEOXvYV9KiEwnzEr9YFXgew6w+KhbBWk7Y+mZ7IuTVhsulCnhQCtC5&#10;WdeB+LFIF+v5ep6P8slsPcrTuh593FT5aLbJnqb1h7qq6uxnoJblRSsY4yqwG4Yzy/9O/NszuY7V&#10;fTzvbUjeosd+AdnhH0lHLYN810HYa3bZ2UFjmMcYfHs7YeAf92A/vvDVLwAAAP//AwBQSwMEFAAG&#10;AAgAAAAhAGUDWMrYAAAABQEAAA8AAABkcnMvZG93bnJldi54bWxMjk1PwzAQRO9I/AdrkbhU1E6p&#10;+AhxKgTkxoUC4rqNlyQiXqex2wZ+PdsTHJ9mNPOK1eR7tacxdoEtZHMDirgOruPGwttrdXEDKiZk&#10;h31gsvBNEVbl6UmBuQsHfqH9OjVKRjjmaKFNaci1jnVLHuM8DMSSfYbRYxIcG+1GPMi47/XCmCvt&#10;sWN5aHGgh5bqr/XOW4jVO22rn1k9Mx+XTaDF9vH5Ca09P5vu70AlmtJfGY76og6lOG3Cjl1UvXBm&#10;MqlaWIKS+PZ6Kbg5oi4L/d++/AUAAP//AwBQSwECLQAUAAYACAAAACEAtoM4kv4AAADhAQAAEwAA&#10;AAAAAAAAAAAAAAAAAAAAW0NvbnRlbnRfVHlwZXNdLnhtbFBLAQItABQABgAIAAAAIQA4/SH/1gAA&#10;AJQBAAALAAAAAAAAAAAAAAAAAC8BAABfcmVscy8ucmVsc1BLAQItABQABgAIAAAAIQA8LKABEwIA&#10;ACkEAAAOAAAAAAAAAAAAAAAAAC4CAABkcnMvZTJvRG9jLnhtbFBLAQItABQABgAIAAAAIQBlA1jK&#10;2AAAAAUBAAAPAAAAAAAAAAAAAAAAAG0EAABkcnMvZG93bnJldi54bWxQSwUGAAAAAAQABADzAAAA&#10;cgUAAAAA&#10;"/>
          </w:pict>
        </mc:Fallback>
      </mc:AlternateContent>
    </w:r>
  </w:p>
  <w:p w14:paraId="46130BE0" w14:textId="77777777" w:rsidR="00F843B9" w:rsidRDefault="00F843B9" w:rsidP="008B6636">
    <w:r>
      <w:t>July 2001</w:t>
    </w:r>
    <w:r>
      <w:tab/>
      <w:t>GAO/PCIE Financial Audit Manual</w:t>
    </w:r>
    <w:r>
      <w:tab/>
      <w:t>Page 395 H-</w:t>
    </w:r>
    <w:r>
      <w:fldChar w:fldCharType="begin"/>
    </w:r>
    <w:r>
      <w:instrText xml:space="preserve">PAGE </w:instrText>
    </w:r>
    <w:r>
      <w:fldChar w:fldCharType="separate"/>
    </w:r>
    <w:r>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35BF7" w14:textId="77777777" w:rsidR="00F843B9" w:rsidRDefault="00F843B9" w:rsidP="00CC5F9D">
    <w:pPr>
      <w:pStyle w:val="Header"/>
    </w:pPr>
  </w:p>
  <w:p w14:paraId="29ABF0EB" w14:textId="77777777" w:rsidR="00F843B9" w:rsidRDefault="00F843B9" w:rsidP="008B6636">
    <w:r>
      <w:rPr>
        <w:noProof/>
      </w:rPr>
      <mc:AlternateContent>
        <mc:Choice Requires="wps">
          <w:drawing>
            <wp:anchor distT="0" distB="0" distL="114300" distR="114300" simplePos="0" relativeHeight="251636224" behindDoc="1" locked="1" layoutInCell="1" allowOverlap="1" wp14:anchorId="5F885BD6" wp14:editId="0D37F9FC">
              <wp:simplePos x="0" y="0"/>
              <wp:positionH relativeFrom="page">
                <wp:posOffset>1384935</wp:posOffset>
              </wp:positionH>
              <wp:positionV relativeFrom="paragraph">
                <wp:posOffset>2540</wp:posOffset>
              </wp:positionV>
              <wp:extent cx="5486400" cy="12065"/>
              <wp:effectExtent l="3810" t="2540" r="0" b="4445"/>
              <wp:wrapNone/>
              <wp:docPr id="49"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AA665A" id="Rectangle 22" o:spid="_x0000_s1026" style="position:absolute;margin-left:109.05pt;margin-top:.2pt;width:6in;height:.95pt;z-index:-251680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ueSdAIAAPk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zCp&#10;MNK0hx59Atao3iiByjISNFhfQ9yjfXCxRG/vDfvqkTa3HYSJa+fM0AnKAVYR47NnB6Lh4ShaD+8N&#10;h/R0G0ziat+6PiYEFtA+teTp1BKxD4jBxymZz0gOnWPgK8p8Nk030Pp42Dof3grTo7hpsAPsKTnd&#10;3fsQwdD6GJLAGyX5SiqVDLdZ3yqHdjSqI/0O2f15mNIxWJt4bMw4fgGMcEf0RbSp2z+qoiT5TVlN&#10;VrP55YSsyHRSXebzSV5UN9UsJxW5W/2MAAtSd5Jzoe+lFkflFeRlnT3MwKiZpD00ROpSUefQ/csq&#10;7GWAKVSyb/D8RAOtY1PfaA410zpQqcZ99hx7ohgIOP4nSpIEYtdH9awNfwIFOAMdgl7CewGbzrjv&#10;GA0wew3237bUCYzUOw0qqgpC4rAmg0wvSzDcuWd97qGaQaoGB4zG7W0YB3xrndx0cFORiNHmGpTX&#10;yqSKqMoR1UGvMF+pgsNbEAf43E5Rv1+s5S8AAAD//wMAUEsDBBQABgAIAAAAIQDFTfz92AAAAAcB&#10;AAAPAAAAZHJzL2Rvd25yZXYueG1sTI5NT8MwEETvSPwHaytxo85HiaIQpwIkrkgNXLg58ZJEjdcm&#10;dtvw79me4Dh6o5lX71c7izMuYXKkIN0mIJB6ZyYaFHy8v96XIELUZPTsCBX8YIB9c3tT68q4Cx3w&#10;3MZB8AiFSisYY/SVlKEf0eqwdR6J2ZdbrI4cl0GaRV943M4yS5JCWj0RP4za48uI/bE9Wf79zNvE&#10;l9/PA9m33aErfN4VD0rdbdanRxAR1/hXhqs+q0PDTp07kQliVpClZcpVBTsQV5yUGeeOQQ6yqeV/&#10;/+YXAAD//wMAUEsBAi0AFAAGAAgAAAAhALaDOJL+AAAA4QEAABMAAAAAAAAAAAAAAAAAAAAAAFtD&#10;b250ZW50X1R5cGVzXS54bWxQSwECLQAUAAYACAAAACEAOP0h/9YAAACUAQAACwAAAAAAAAAAAAAA&#10;AAAvAQAAX3JlbHMvLnJlbHNQSwECLQAUAAYACAAAACEAzB7nknQCAAD5BAAADgAAAAAAAAAAAAAA&#10;AAAuAgAAZHJzL2Uyb0RvYy54bWxQSwECLQAUAAYACAAAACEAxU38/dgAAAAHAQAADwAAAAAAAAAA&#10;AAAAAADOBAAAZHJzL2Rvd25yZXYueG1sUEsFBgAAAAAEAAQA8wAAANMFAAAAAA==&#10;" fillcolor="black" stroked="f" strokeweight="0">
              <w10:wrap anchorx="page"/>
              <w10:anchorlock/>
            </v:rect>
          </w:pict>
        </mc:Fallback>
      </mc:AlternateContent>
    </w:r>
  </w:p>
  <w:p w14:paraId="44462736" w14:textId="77777777" w:rsidR="00F843B9" w:rsidRDefault="00F843B9" w:rsidP="008B6636">
    <w:r>
      <w:t>July 2001</w:t>
    </w:r>
    <w:r>
      <w:tab/>
      <w:t>GAO/PCIE Financial Audit Manual</w:t>
    </w:r>
    <w:r>
      <w:tab/>
      <w:t>Page 310-</w:t>
    </w:r>
    <w:r>
      <w:fldChar w:fldCharType="begin"/>
    </w:r>
    <w:r>
      <w:instrText xml:space="preserve">PAGE </w:instrText>
    </w:r>
    <w:r>
      <w:fldChar w:fldCharType="separate"/>
    </w:r>
    <w:r>
      <w:rPr>
        <w:noProof/>
      </w:rPr>
      <w:t>4</w:t>
    </w:r>
    <w:r>
      <w:rPr>
        <w:noProof/>
      </w:rP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C5165" w14:textId="3EACCE91" w:rsidR="00F843B9" w:rsidRPr="00784B03" w:rsidRDefault="00513F1E" w:rsidP="00A2562F">
    <w:pPr>
      <w:pStyle w:val="Footer"/>
      <w:spacing w:after="0"/>
      <w:rPr>
        <w:lang w:val="pt-BR"/>
      </w:rPr>
    </w:pPr>
    <w:r>
      <w:rPr>
        <w:color w:val="000000" w:themeColor="text1"/>
      </w:rPr>
      <w:t>June 2024</w:t>
    </w:r>
    <w:r w:rsidR="00F843B9">
      <w:rPr>
        <w:lang w:val="pt-BR"/>
      </w:rPr>
      <w:tab/>
      <w:t xml:space="preserve">           </w:t>
    </w:r>
    <w:r w:rsidR="00F843B9">
      <w:rPr>
        <w:lang w:val="pt-BR"/>
      </w:rPr>
      <w:t>GAO/</w:t>
    </w:r>
    <w:r w:rsidR="00F843B9" w:rsidRPr="00784B03">
      <w:rPr>
        <w:lang w:val="pt-BR"/>
      </w:rPr>
      <w:t>C</w:t>
    </w:r>
    <w:r w:rsidR="00F843B9">
      <w:rPr>
        <w:lang w:val="pt-BR"/>
      </w:rPr>
      <w:t>IG</w:t>
    </w:r>
    <w:r w:rsidR="00F843B9" w:rsidRPr="00784B03">
      <w:rPr>
        <w:lang w:val="pt-BR"/>
      </w:rPr>
      <w:t>IE Financial Audit Manual</w:t>
    </w:r>
    <w:r w:rsidR="00F843B9" w:rsidRPr="00784B03">
      <w:rPr>
        <w:lang w:val="pt-BR"/>
      </w:rPr>
      <w:tab/>
    </w:r>
    <w:r w:rsidR="00F843B9">
      <w:rPr>
        <w:lang w:val="pt-BR"/>
      </w:rPr>
      <w:t>Page 395 G</w:t>
    </w:r>
    <w:r w:rsidR="00F843B9" w:rsidRPr="00784B03">
      <w:rPr>
        <w:lang w:val="pt-BR"/>
      </w:rPr>
      <w:t>-</w:t>
    </w:r>
    <w:r w:rsidR="00F843B9" w:rsidRPr="00784B03">
      <w:fldChar w:fldCharType="begin"/>
    </w:r>
    <w:r w:rsidR="00F843B9" w:rsidRPr="00784B03">
      <w:rPr>
        <w:lang w:val="pt-BR"/>
      </w:rPr>
      <w:instrText xml:space="preserve">PAGE </w:instrText>
    </w:r>
    <w:r w:rsidR="00F843B9" w:rsidRPr="00784B03">
      <w:fldChar w:fldCharType="separate"/>
    </w:r>
    <w:r w:rsidR="00F61141">
      <w:rPr>
        <w:noProof/>
        <w:lang w:val="pt-BR"/>
      </w:rPr>
      <w:t>2</w:t>
    </w:r>
    <w:r w:rsidR="00F843B9" w:rsidRPr="00784B03">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997ED" w14:textId="122495E2" w:rsidR="00F843B9" w:rsidRPr="00784B03" w:rsidRDefault="00513F1E" w:rsidP="00B71C82">
    <w:pPr>
      <w:pStyle w:val="Footer-landscape-legal"/>
      <w:tabs>
        <w:tab w:val="clear" w:pos="17370"/>
        <w:tab w:val="right" w:pos="17640"/>
      </w:tabs>
      <w:spacing w:after="0"/>
    </w:pPr>
    <w:r>
      <w:rPr>
        <w:color w:val="000000" w:themeColor="text1"/>
      </w:rPr>
      <w:t>June 2024</w:t>
    </w:r>
    <w:r w:rsidR="00F843B9">
      <w:tab/>
      <w:t>GAO/</w:t>
    </w:r>
    <w:r w:rsidR="00F843B9" w:rsidRPr="00784B03">
      <w:t>C</w:t>
    </w:r>
    <w:r w:rsidR="00F843B9">
      <w:t>IG</w:t>
    </w:r>
    <w:r w:rsidR="00F843B9" w:rsidRPr="00784B03">
      <w:t>IE Fina</w:t>
    </w:r>
    <w:r w:rsidR="00F843B9">
      <w:t>ncial Audit Manual</w:t>
    </w:r>
    <w:r w:rsidR="00F843B9">
      <w:tab/>
      <w:t xml:space="preserve">          Page 395 G</w:t>
    </w:r>
    <w:r w:rsidR="00F843B9" w:rsidRPr="00784B03">
      <w:t>-</w:t>
    </w:r>
    <w:r w:rsidR="00F843B9" w:rsidRPr="00784B03">
      <w:fldChar w:fldCharType="begin"/>
    </w:r>
    <w:r w:rsidR="00F843B9" w:rsidRPr="00784B03">
      <w:instrText xml:space="preserve">PAGE </w:instrText>
    </w:r>
    <w:r w:rsidR="00F843B9" w:rsidRPr="00784B03">
      <w:fldChar w:fldCharType="separate"/>
    </w:r>
    <w:r w:rsidR="00F61141">
      <w:rPr>
        <w:noProof/>
      </w:rPr>
      <w:t>9</w:t>
    </w:r>
    <w:r w:rsidR="00F843B9" w:rsidRPr="00784B03">
      <w:fldChar w:fldCharType="end"/>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267D7" w14:textId="77777777" w:rsidR="00F843B9" w:rsidRDefault="00F843B9" w:rsidP="00CC5F9D">
    <w:pPr>
      <w:pStyle w:val="Header"/>
    </w:pPr>
  </w:p>
  <w:p w14:paraId="029664E6" w14:textId="77777777" w:rsidR="00F843B9" w:rsidRDefault="00F843B9" w:rsidP="008B6636">
    <w:r>
      <w:rPr>
        <w:noProof/>
      </w:rPr>
      <mc:AlternateContent>
        <mc:Choice Requires="wps">
          <w:drawing>
            <wp:anchor distT="0" distB="0" distL="114300" distR="114300" simplePos="0" relativeHeight="251683328" behindDoc="1" locked="1" layoutInCell="1" allowOverlap="1" wp14:anchorId="5C1502F1" wp14:editId="2D1EB609">
              <wp:simplePos x="0" y="0"/>
              <wp:positionH relativeFrom="page">
                <wp:posOffset>1384935</wp:posOffset>
              </wp:positionH>
              <wp:positionV relativeFrom="paragraph">
                <wp:posOffset>2540</wp:posOffset>
              </wp:positionV>
              <wp:extent cx="5486400" cy="12065"/>
              <wp:effectExtent l="3810" t="2540" r="0" b="4445"/>
              <wp:wrapNone/>
              <wp:docPr id="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5AC5D0" id="Rectangle 72" o:spid="_x0000_s1026" style="position:absolute;margin-left:109.05pt;margin-top:.2pt;width:6in;height:.95pt;z-index:-251633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57lcwIAAPgEAAAOAAAAZHJzL2Uyb0RvYy54bWysVNuO2yAQfa/Uf0C8Z30RudhaZ7WXpqq0&#10;bVfd9gMI4BgVAwUSZ1v13zvgJM22L6uqeSCMZxjOnDnD5dW+V2gnnJdGN7i4yDESmhku9abBXz6v&#10;JguMfKCaU2W0aPCT8Phq+frV5WBrUZrOKC4cgiTa14NtcBeCrbPMs0701F8YKzQ4W+N6GsB0m4w7&#10;OkD2XmVlns+ywThunWHCe/h6NzrxMuVvW8HCx7b1IiDVYMAW0urSuo5rtryk9cZR20l2gEH/AUVP&#10;pYZLT6nuaKBo6+RfqXrJnPGmDRfM9JlpW8lEqgGqKfI/qnnsqBWpFiDH2xNN/v+lZR92Dw5J3mCC&#10;kaY9tOgTkEb1Rgk0LyM/g/U1hD3aBxcr9PbesK8eaXPbQZi4ds4MnaAcUBUxPnt2IBoejqL18N5w&#10;SE+3wSSq9q3rY0IgAe1TR55OHRH7gBh8nJLFjOTQOAa+osxn03QDrY+HrfPhrTA9ipsGO8CektPd&#10;vQ8RDK2PIQm8UZKvpFLJcJv1rXJoR6M40u+Q3Z+HKR2DtYnHxozjF8AId0RfRJua/aMqSpLflNVk&#10;NVvMJ2RFppNqni8meVHdVLOcVORu9TMCLEjdSc6FvpdaHIVXkJc19jACo2SS9NAQqUtFnUP3L6uw&#10;lwGGUMm+wYsTDbSOTX2jOdRM60ClGvfZc+yJYiDg+J8oSRKIXR/Vszb8CRTgDHQIegnPBWw6475j&#10;NMDoNdh/21InMFLvNKioKgiJs5oMMp2XYLhzz/rcQzWDVA0OGI3b2zDO99Y6uengpiIRo801KK+V&#10;SRVRlSOqg15hvFIFh6cgzu+5naJ+P1jLXwAAAP//AwBQSwMEFAAGAAgAAAAhAMVN/P3YAAAABwEA&#10;AA8AAABkcnMvZG93bnJldi54bWxMjk1PwzAQRO9I/AdrK3GjzkeJohCnAiSuSA1cuDnxkkSN1yZ2&#10;2/Dv2Z7gOHqjmVfvVzuLMy5hcqQg3SYgkHpnJhoUfLy/3pcgQtRk9OwIFfxggH1ze1PryrgLHfDc&#10;xkHwCIVKKxhj9JWUoR/R6rB1HonZl1usjhyXQZpFX3jczjJLkkJaPRE/jNrjy4j9sT1Z/v3M28SX&#10;388D2bfdoSt83hUPSt1t1qdHEBHX+FeGqz6rQ8NOnTuRCWJWkKVlylUFOxBXnJQZ545BDrKp5X//&#10;5hcAAP//AwBQSwECLQAUAAYACAAAACEAtoM4kv4AAADhAQAAEwAAAAAAAAAAAAAAAAAAAAAAW0Nv&#10;bnRlbnRfVHlwZXNdLnhtbFBLAQItABQABgAIAAAAIQA4/SH/1gAAAJQBAAALAAAAAAAAAAAAAAAA&#10;AC8BAABfcmVscy8ucmVsc1BLAQItABQABgAIAAAAIQBRA57lcwIAAPgEAAAOAAAAAAAAAAAAAAAA&#10;AC4CAABkcnMvZTJvRG9jLnhtbFBLAQItABQABgAIAAAAIQDFTfz92AAAAAcBAAAPAAAAAAAAAAAA&#10;AAAAAM0EAABkcnMvZG93bnJldi54bWxQSwUGAAAAAAQABADzAAAA0gUAAAAA&#10;" fillcolor="black" stroked="f" strokeweight="0">
              <w10:wrap anchorx="page"/>
              <w10:anchorlock/>
            </v:rect>
          </w:pict>
        </mc:Fallback>
      </mc:AlternateContent>
    </w:r>
  </w:p>
  <w:p w14:paraId="5EA96B19" w14:textId="77777777" w:rsidR="00F843B9" w:rsidRDefault="00F843B9" w:rsidP="008B6636">
    <w:r>
      <w:t>July 2001</w:t>
    </w:r>
    <w:r>
      <w:tab/>
      <w:t>GAO/PCIE Financial Audit Manual</w:t>
    </w:r>
    <w:r>
      <w:tab/>
      <w:t>Page 395 I-</w:t>
    </w:r>
    <w:r>
      <w:fldChar w:fldCharType="begin"/>
    </w:r>
    <w:r>
      <w:instrText xml:space="preserve">PAGE </w:instrText>
    </w:r>
    <w:r>
      <w:fldChar w:fldCharType="separate"/>
    </w:r>
    <w:r>
      <w:rPr>
        <w:noProof/>
      </w:rPr>
      <w:t>2</w:t>
    </w:r>
    <w:r>
      <w:rPr>
        <w:noProof/>
      </w:rP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0423E" w14:textId="4F1FD704" w:rsidR="00F843B9" w:rsidRPr="00784B03" w:rsidRDefault="00513F1E" w:rsidP="00A2562F">
    <w:pPr>
      <w:pStyle w:val="Footer"/>
      <w:spacing w:after="0"/>
    </w:pPr>
    <w:r>
      <w:rPr>
        <w:color w:val="000000" w:themeColor="text1"/>
      </w:rPr>
      <w:t>June 2024</w:t>
    </w:r>
    <w:r w:rsidR="00F843B9">
      <w:tab/>
      <w:t xml:space="preserve">                GAO/</w:t>
    </w:r>
    <w:r w:rsidR="00F843B9" w:rsidRPr="00784B03">
      <w:t>C</w:t>
    </w:r>
    <w:r w:rsidR="00F843B9">
      <w:t>IG</w:t>
    </w:r>
    <w:r w:rsidR="00F843B9" w:rsidRPr="00784B03">
      <w:t>IE F</w:t>
    </w:r>
    <w:r w:rsidR="00F843B9">
      <w:t>inancial Audit Manual</w:t>
    </w:r>
    <w:r w:rsidR="00F843B9">
      <w:tab/>
      <w:t>Page 395 H</w:t>
    </w:r>
    <w:r w:rsidR="00F843B9" w:rsidRPr="00784B03">
      <w:t>-</w:t>
    </w:r>
    <w:r w:rsidR="00F843B9" w:rsidRPr="00784B03">
      <w:fldChar w:fldCharType="begin"/>
    </w:r>
    <w:r w:rsidR="00F843B9" w:rsidRPr="00784B03">
      <w:rPr>
        <w:lang w:val="pt-BR"/>
      </w:rPr>
      <w:instrText xml:space="preserve">PAGE </w:instrText>
    </w:r>
    <w:r w:rsidR="00F843B9" w:rsidRPr="00784B03">
      <w:fldChar w:fldCharType="separate"/>
    </w:r>
    <w:r w:rsidR="00F61141">
      <w:rPr>
        <w:noProof/>
        <w:lang w:val="pt-BR"/>
      </w:rPr>
      <w:t>2</w:t>
    </w:r>
    <w:r w:rsidR="00F843B9" w:rsidRPr="00784B03">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09196" w14:textId="77777777" w:rsidR="00F843B9" w:rsidRDefault="00F843B9" w:rsidP="008B6636"/>
  <w:p w14:paraId="5A2DE768" w14:textId="77777777" w:rsidR="00F843B9" w:rsidRDefault="00F843B9" w:rsidP="008B6636">
    <w:r>
      <w:rPr>
        <w:noProof/>
      </w:rPr>
      <mc:AlternateContent>
        <mc:Choice Requires="wps">
          <w:drawing>
            <wp:anchor distT="0" distB="0" distL="114300" distR="114300" simplePos="0" relativeHeight="251684352" behindDoc="1" locked="1" layoutInCell="0" allowOverlap="1" wp14:anchorId="2BCD9286" wp14:editId="087AF85F">
              <wp:simplePos x="0" y="0"/>
              <wp:positionH relativeFrom="page">
                <wp:posOffset>685800</wp:posOffset>
              </wp:positionH>
              <wp:positionV relativeFrom="paragraph">
                <wp:posOffset>0</wp:posOffset>
              </wp:positionV>
              <wp:extent cx="8458200" cy="12065"/>
              <wp:effectExtent l="0" t="0" r="0" b="0"/>
              <wp:wrapNone/>
              <wp:docPr id="1"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582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DBB5EE" id="Rectangle 75" o:spid="_x0000_s1026" style="position:absolute;margin-left:54pt;margin-top:0;width:666pt;height:.95pt;z-index:-251632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NZCcwIAAPgEAAAOAAAAZHJzL2Uyb0RvYy54bWysVNuO2jAQfa/Uf7D8DklQuCQirHahVJVo&#10;u+q2H2Bsh1h1bNc2BFr13zt2gLLty6oqD8aTGY/PnDnj+d2xlejArRNaVTgbphhxRTUTalfhL5/X&#10;gxlGzhPFiNSKV/jEHb5bvH4170zJR7rRknGLIIlyZWcq3HhvyiRxtOEtcUNtuAJnrW1LPJh2lzBL&#10;OsjeymSUppOk05YZqyl3Dr6ueidexPx1zan/WNeOeyQrDNh8XG1ct2FNFnNS7iwxjaBnGOQfULRE&#10;KLj0mmpFPEF7K/5K1QpqtdO1H1LdJrquBeWxBqgmS/+o5qkhhsdagBxnrjS5/5eWfjg8WiQY9A4j&#10;RVpo0Scgjaid5Gg6Dvx0xpUQ9mQebajQmY2mXx1SetlAGL+3VncNJwxQZSE+eXYgGA6Oom33XjNI&#10;T/ZeR6qOtW1DQiABHWNHTteO8KNHFD7O8vEM2owRBV82SicRUULKy2FjnX/LdYvCpsIWsMfk5LBx&#10;PoAh5SUkgtdSsLWQMhp2t11Kiw4kiCP+In6o8TZMqhCsdDjWZ+y/AEa4I/gC2tjsH0U2ytOHUTFY&#10;T2bTQb7Ox4Nims4GaVY8FJM0L/LV+mcAmOVlIxjjaiMUvwgvy1/W2PMI9JKJ0kNdoC4WdQvdvazC&#10;VngYQilaIPxKAylDU98oBjWT0hMh+33yHHukGAi4/EdKogRC13v1bDU7gQKshg5BL+G5gE2j7XeM&#10;Ohi9Crtve2I5RvKdAhUVWZ6HWY1GPp6OwLC3nu2thygKqSrsMeq3S9/P995YsWvgpiwSo/Q9KK8W&#10;URVBlT2qs15hvGIF56cgzO+tHaN+P1iLXwAAAP//AwBQSwMEFAAGAAgAAAAhAK1v2cXZAAAABwEA&#10;AA8AAABkcnMvZG93bnJldi54bWxMj0FPwzAMhe9I/IfISNxYAitV6ZpOgMQVaR0Xbmlj2mqNE5ps&#10;K/8e7wQX61nPeu9ztV3cJE44x9GThvuVAoHUeTtSr+Fj/3ZXgIjJkDWTJ9TwgxG29fVVZUrrz7TD&#10;U5N6wSEUS6NhSCmUUsZuQGfiygck9r787Ezide6lnc2Zw90kH5TKpTMjccNgAr4O2B2ao+Pez3Wj&#10;QvH90pN7z3ZtHtZt/qj17c3yvAGRcEl/x3DBZ3Soman1R7JRTLyrgn9JGnhe7CxTrFpWTyDrSv7n&#10;r38BAAD//wMAUEsBAi0AFAAGAAgAAAAhALaDOJL+AAAA4QEAABMAAAAAAAAAAAAAAAAAAAAAAFtD&#10;b250ZW50X1R5cGVzXS54bWxQSwECLQAUAAYACAAAACEAOP0h/9YAAACUAQAACwAAAAAAAAAAAAAA&#10;AAAvAQAAX3JlbHMvLnJlbHNQSwECLQAUAAYACAAAACEANvDWQnMCAAD4BAAADgAAAAAAAAAAAAAA&#10;AAAuAgAAZHJzL2Uyb0RvYy54bWxQSwECLQAUAAYACAAAACEArW/ZxdkAAAAHAQAADwAAAAAAAAAA&#10;AAAAAADNBAAAZHJzL2Rvd25yZXYueG1sUEsFBgAAAAAEAAQA8wAAANMFAAAAAA==&#10;" o:allowincell="f" fillcolor="black" stroked="f" strokeweight="0">
              <w10:wrap anchorx="page"/>
              <w10:anchorlock/>
            </v:rect>
          </w:pict>
        </mc:Fallback>
      </mc:AlternateContent>
    </w:r>
  </w:p>
  <w:p w14:paraId="2E13584D" w14:textId="77777777" w:rsidR="00F843B9" w:rsidRDefault="00F843B9" w:rsidP="008B6636">
    <w:r>
      <w:t>July 2001</w:t>
    </w:r>
    <w:r>
      <w:tab/>
      <w:t>GAO/PCIE Financial Audit Manual</w:t>
    </w:r>
    <w:r>
      <w:tab/>
      <w:t>Page 395 I-</w:t>
    </w:r>
    <w:r>
      <w:fldChar w:fldCharType="begin"/>
    </w:r>
    <w:r>
      <w:instrText xml:space="preserve">PAGE </w:instrText>
    </w:r>
    <w:r>
      <w:fldChar w:fldCharType="separate"/>
    </w:r>
    <w:r>
      <w:rPr>
        <w:noProof/>
      </w:rPr>
      <w:t>6</w:t>
    </w:r>
    <w:r>
      <w:rPr>
        <w:noProof/>
      </w:rPr>
      <w:fldChar w:fldCharType="end"/>
    </w:r>
  </w:p>
  <w:p w14:paraId="32C68425" w14:textId="77777777" w:rsidR="00F843B9" w:rsidRDefault="00F843B9"/>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48DAB" w14:textId="7A517332" w:rsidR="00F843B9" w:rsidRDefault="00513F1E" w:rsidP="00B71C82">
    <w:pPr>
      <w:pStyle w:val="Footer-landscape-legal"/>
      <w:tabs>
        <w:tab w:val="clear" w:pos="17370"/>
        <w:tab w:val="right" w:pos="18000"/>
      </w:tabs>
      <w:spacing w:after="0"/>
    </w:pPr>
    <w:r>
      <w:rPr>
        <w:color w:val="000000" w:themeColor="text1"/>
      </w:rPr>
      <w:t>June 2024</w:t>
    </w:r>
    <w:r w:rsidR="00F843B9">
      <w:tab/>
      <w:t>GAO/</w:t>
    </w:r>
    <w:r w:rsidR="00F843B9" w:rsidRPr="00784B03">
      <w:t>C</w:t>
    </w:r>
    <w:r w:rsidR="00F843B9">
      <w:t>IG</w:t>
    </w:r>
    <w:r w:rsidR="00F843B9" w:rsidRPr="00784B03">
      <w:t>IE Fi</w:t>
    </w:r>
    <w:r w:rsidR="00F843B9">
      <w:t>nancial Audit Manual</w:t>
    </w:r>
    <w:r w:rsidR="00F843B9">
      <w:tab/>
      <w:t>Page 395 H</w:t>
    </w:r>
    <w:r w:rsidR="00F843B9" w:rsidRPr="00784B03">
      <w:t>-</w:t>
    </w:r>
    <w:r w:rsidR="00F843B9" w:rsidRPr="00784B03">
      <w:fldChar w:fldCharType="begin"/>
    </w:r>
    <w:r w:rsidR="00F843B9" w:rsidRPr="00784B03">
      <w:instrText xml:space="preserve">PAGE </w:instrText>
    </w:r>
    <w:r w:rsidR="00F843B9" w:rsidRPr="00784B03">
      <w:fldChar w:fldCharType="separate"/>
    </w:r>
    <w:r w:rsidR="00F61141">
      <w:rPr>
        <w:noProof/>
      </w:rPr>
      <w:t>5</w:t>
    </w:r>
    <w:r w:rsidR="00F843B9" w:rsidRPr="00784B03">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B1637" w14:textId="245835E2" w:rsidR="00F843B9" w:rsidRPr="00353A9C" w:rsidRDefault="00513F1E" w:rsidP="00A2562F">
    <w:pPr>
      <w:pStyle w:val="Footer"/>
      <w:spacing w:after="0"/>
    </w:pPr>
    <w:r>
      <w:rPr>
        <w:color w:val="000000" w:themeColor="text1"/>
      </w:rPr>
      <w:t>June 2024</w:t>
    </w:r>
    <w:r w:rsidR="00F843B9" w:rsidRPr="00353A9C">
      <w:tab/>
    </w:r>
    <w:r w:rsidR="00F843B9">
      <w:t xml:space="preserve">             </w:t>
    </w:r>
    <w:r w:rsidR="00F843B9" w:rsidRPr="00353A9C">
      <w:t>GAO/CIGIE Financial Audit Manual</w:t>
    </w:r>
    <w:r w:rsidR="00F843B9" w:rsidRPr="00353A9C">
      <w:tab/>
      <w:t>Page 300-</w:t>
    </w:r>
    <w:r w:rsidR="00F843B9" w:rsidRPr="00353A9C">
      <w:fldChar w:fldCharType="begin"/>
    </w:r>
    <w:r w:rsidR="00F843B9" w:rsidRPr="00353A9C">
      <w:instrText xml:space="preserve">PAGE </w:instrText>
    </w:r>
    <w:r w:rsidR="00F843B9" w:rsidRPr="00353A9C">
      <w:fldChar w:fldCharType="separate"/>
    </w:r>
    <w:r w:rsidR="00F61141">
      <w:rPr>
        <w:noProof/>
      </w:rPr>
      <w:t>1</w:t>
    </w:r>
    <w:r w:rsidR="00F843B9" w:rsidRPr="00353A9C">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CCC5F" w14:textId="77777777" w:rsidR="00F843B9" w:rsidRDefault="00F843B9" w:rsidP="00CC5F9D">
    <w:pPr>
      <w:pStyle w:val="Header"/>
    </w:pPr>
  </w:p>
  <w:p w14:paraId="6C595ACF" w14:textId="77777777" w:rsidR="00F843B9" w:rsidRDefault="00F843B9" w:rsidP="008B6636">
    <w:r>
      <w:rPr>
        <w:noProof/>
      </w:rPr>
      <mc:AlternateContent>
        <mc:Choice Requires="wps">
          <w:drawing>
            <wp:anchor distT="0" distB="0" distL="114300" distR="114300" simplePos="0" relativeHeight="251635200" behindDoc="1" locked="1" layoutInCell="0" allowOverlap="1" wp14:anchorId="194845B2" wp14:editId="04A68F91">
              <wp:simplePos x="0" y="0"/>
              <wp:positionH relativeFrom="page">
                <wp:posOffset>1600200</wp:posOffset>
              </wp:positionH>
              <wp:positionV relativeFrom="paragraph">
                <wp:posOffset>0</wp:posOffset>
              </wp:positionV>
              <wp:extent cx="5486400" cy="12065"/>
              <wp:effectExtent l="0" t="0" r="0" b="0"/>
              <wp:wrapNone/>
              <wp:docPr id="4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0401D7" id="Rectangle 21" o:spid="_x0000_s1026" style="position:absolute;margin-left:126pt;margin-top:0;width:6in;height:.95pt;z-index:-251681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8tKcwIAAPkEAAAOAAAAZHJzL2Uyb0RvYy54bWysVNuO2yAQfa/Uf0C8Z30RycZWnNVemqrS&#10;tl112w8ggGNUDBRInG3Vf++AkzTbvqyq5oEwnuFw5swMi6t9r9BOOC+NbnBxkWMkNDNc6k2Dv3xe&#10;TeYY+UA1p8po0eAn4fHV8vWrxWBrUZrOKC4cAhDt68E2uAvB1lnmWSd66i+MFRqcrXE9DWC6TcYd&#10;HQC9V1mZ57NsMI5bZ5jwHr7ejU68TPhtK1j42LZeBKQaDNxCWl1a13HNlgtabxy1nWQHGvQfWPRU&#10;arj0BHVHA0VbJ/+C6iVzxps2XDDTZ6ZtJRMpB8imyP/I5rGjVqRcQBxvTzL5/wfLPuweHJK8wWSG&#10;kaY91OgTqEb1RglUFlGgwfoa4h7tg4spentv2FePtLntIExcO2eGTlAOtFJ89uxANDwcRevhveEA&#10;T7fBJK32resjIKiA9qkkT6eSiH1ADD5OyXxGcqgcA19R5rNpZJTR+njYOh/eCtOjuGmwA+4JnO7u&#10;fRhDjyGJvFGSr6RSyXCb9a1yaEdjd6TfAd2fhykdg7WJx0bE8QtwhDuiL7JN1f5RFSXJb8pqsprN&#10;LydkRaaT6jKfT/KiuqlmOanI3epnJFiQupOcC30vtTh2XkFeVtnDDIw9k3oPDVG6lNQ5df+yDHsZ&#10;YAqV7Bs8P8lA61jUN5pDzrQOVKpxnz3nnqoBAhz/kySpBWLVx+5ZG/4EHeAMVAhqCe8FbDrjvmM0&#10;wOw12H/bUicwUu80dFFVEBKHNRlkelmC4c4963MP1QygGhwwGre3YRzwrXVy08FNRRJGm2vovFam&#10;rohdObIC3tGA+UoZHN6COMDndor6/WItfwEAAP//AwBQSwMEFAAGAAgAAAAhAGR34yzbAAAABwEA&#10;AA8AAABkcnMvZG93bnJldi54bWxMj0FPwzAMhe9I+w+RJ3FjabutGqXpBEhcJ63jwi1tTFvROKHJ&#10;tvLv8U5wsZ71rPc+l/vZjuKCUxgcKUhXCQik1pmBOgXvp7eHHYgQNRk9OkIFPxhgXy3uSl0Yd6Uj&#10;XurYCQ6hUGgFfYy+kDK0PVodVs4jsffpJqsjr1MnzaSvHG5HmSVJLq0eiBt67fG1x/arPlvu/VjX&#10;id99v3RkD5tjk/t1k2+Vul/Oz08gIs7x7xhu+IwOFTM17kwmiFFBts34l6iA581O05xVw+oRZFXK&#10;//zVLwAAAP//AwBQSwECLQAUAAYACAAAACEAtoM4kv4AAADhAQAAEwAAAAAAAAAAAAAAAAAAAAAA&#10;W0NvbnRlbnRfVHlwZXNdLnhtbFBLAQItABQABgAIAAAAIQA4/SH/1gAAAJQBAAALAAAAAAAAAAAA&#10;AAAAAC8BAABfcmVscy8ucmVsc1BLAQItABQABgAIAAAAIQBE38tKcwIAAPkEAAAOAAAAAAAAAAAA&#10;AAAAAC4CAABkcnMvZTJvRG9jLnhtbFBLAQItABQABgAIAAAAIQBkd+Ms2wAAAAcBAAAPAAAAAAAA&#10;AAAAAAAAAM0EAABkcnMvZG93bnJldi54bWxQSwUGAAAAAAQABADzAAAA1QUAAAAA&#10;" o:allowincell="f" fillcolor="black" stroked="f" strokeweight="0">
              <w10:wrap anchorx="page"/>
              <w10:anchorlock/>
            </v:rect>
          </w:pict>
        </mc:Fallback>
      </mc:AlternateContent>
    </w:r>
  </w:p>
  <w:p w14:paraId="3AFDB29B" w14:textId="77777777" w:rsidR="00F843B9" w:rsidRDefault="00F843B9" w:rsidP="008B6636">
    <w:r>
      <w:t>July 2001</w:t>
    </w:r>
    <w:r>
      <w:tab/>
      <w:t>GAO/PCIE Financial Audit Manual</w:t>
    </w:r>
    <w:r>
      <w:tab/>
      <w:t>Page 310-</w:t>
    </w:r>
    <w:r>
      <w:fldChar w:fldCharType="begin"/>
    </w:r>
    <w:r>
      <w:instrText xml:space="preserve">PAGE </w:instrText>
    </w:r>
    <w:r>
      <w:fldChar w:fldCharType="separate"/>
    </w:r>
    <w:r>
      <w:rPr>
        <w:noProof/>
      </w:rPr>
      <w:t>1</w:t>
    </w:r>
    <w:r>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7F361" w14:textId="1B26A4B6" w:rsidR="00F843B9" w:rsidRPr="00D20FD5" w:rsidRDefault="00513F1E" w:rsidP="00A2562F">
    <w:pPr>
      <w:pStyle w:val="Footer"/>
      <w:spacing w:after="0"/>
    </w:pPr>
    <w:r>
      <w:rPr>
        <w:color w:val="000000" w:themeColor="text1"/>
      </w:rPr>
      <w:t>June 2024</w:t>
    </w:r>
    <w:r w:rsidR="00F843B9" w:rsidRPr="00D20FD5">
      <w:tab/>
    </w:r>
    <w:r w:rsidR="00F843B9">
      <w:t xml:space="preserve">                    </w:t>
    </w:r>
    <w:r w:rsidR="00F843B9" w:rsidRPr="00D20FD5">
      <w:t>GAO/</w:t>
    </w:r>
    <w:r w:rsidR="00F843B9">
      <w:t>CIGIE</w:t>
    </w:r>
    <w:r w:rsidR="00F843B9" w:rsidRPr="00D20FD5">
      <w:t xml:space="preserve"> Financial Audit Manual</w:t>
    </w:r>
    <w:r w:rsidR="00F843B9" w:rsidRPr="00D20FD5">
      <w:tab/>
      <w:t>Page 310-</w:t>
    </w:r>
    <w:r w:rsidR="00F843B9" w:rsidRPr="00D20FD5">
      <w:fldChar w:fldCharType="begin"/>
    </w:r>
    <w:r w:rsidR="00F843B9" w:rsidRPr="00D20FD5">
      <w:instrText xml:space="preserve">PAGE </w:instrText>
    </w:r>
    <w:r w:rsidR="00F843B9" w:rsidRPr="00D20FD5">
      <w:fldChar w:fldCharType="separate"/>
    </w:r>
    <w:r w:rsidR="00695A76">
      <w:rPr>
        <w:noProof/>
      </w:rPr>
      <w:t>4</w:t>
    </w:r>
    <w:r w:rsidR="00F843B9" w:rsidRPr="00D20FD5">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9FEED" w14:textId="77777777" w:rsidR="00F843B9" w:rsidRDefault="00F843B9" w:rsidP="00CC5F9D">
    <w:pPr>
      <w:pStyle w:val="Header"/>
    </w:pPr>
  </w:p>
  <w:p w14:paraId="636580F1" w14:textId="77777777" w:rsidR="00F843B9" w:rsidRDefault="00F843B9" w:rsidP="008B6636">
    <w:r>
      <w:rPr>
        <w:noProof/>
      </w:rPr>
      <mc:AlternateContent>
        <mc:Choice Requires="wps">
          <w:drawing>
            <wp:anchor distT="0" distB="0" distL="114300" distR="114300" simplePos="0" relativeHeight="251642368" behindDoc="1" locked="1" layoutInCell="1" allowOverlap="1" wp14:anchorId="432F3F59" wp14:editId="069E1379">
              <wp:simplePos x="0" y="0"/>
              <wp:positionH relativeFrom="page">
                <wp:posOffset>1384935</wp:posOffset>
              </wp:positionH>
              <wp:positionV relativeFrom="paragraph">
                <wp:posOffset>2540</wp:posOffset>
              </wp:positionV>
              <wp:extent cx="5486400" cy="12065"/>
              <wp:effectExtent l="3810" t="2540" r="0" b="4445"/>
              <wp:wrapNone/>
              <wp:docPr id="43"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552304" id="Rectangle 28" o:spid="_x0000_s1026" style="position:absolute;margin-left:109.05pt;margin-top:.2pt;width:6in;height:.95pt;z-index:-251674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mXddAIAAPkEAAAOAAAAZHJzL2Uyb0RvYy54bWysVNtuGyEQfa/Uf0C8O3spdryrrKNc6qpS&#10;2kZN+wEYWC8qCxSw10nVf+/A2q7TvkRV/YCZnWE4c+YMF5e7XqGtcF4a3eDiLMdIaGa41OsGf/2y&#10;nMwx8oFqTpXRosGPwuPLxetXF4OtRWk6o7hwCJJoXw+2wV0Its4yzzrRU39mrNDgbI3raQDTrTPu&#10;6ADZe5WVeT7LBuO4dYYJ7+Hr7ejEi5S/bQULn9rWi4BUgwFbSKtL6yqu2eKC1mtHbSfZHgb9BxQ9&#10;lRouPaa6pYGijZN/peolc8abNpwx02embSUTqQaopsj/qOaho1akWoAcb480+f+Xln3c3jskeYPJ&#10;G4w07aFHn4E1qtdKoHIeCRqsryHuwd67WKK3d4Z980ibmw7CxJVzZugE5QCriPHZswPR8HAUrYYP&#10;hkN6ugkmcbVrXR8TAgtol1ryeGyJ2AXE4OOUzGckh84x8BVlPpumG2h9OGydD++E6VHcNNgB9pSc&#10;bu98iGBofQhJ4I2SfCmVSoZbr26UQ1sa1ZF+++z+NEzpGKxNPDZmHL8ARrgj+iLa1O0fVVGS/Lqs&#10;JsvZ/HxClmQ6qc7z+SQvqutqlpOK3C5/RoAFqTvJudB3UouD8gryss7uZ2DUTNIeGiJ1qahT6P5l&#10;FfYywBQq2Td4fqSB1rGpbzWHmmkdqFTjPnuOPVEMBBz+EyVJArHro3pWhj+CApyBDkEv4b2ATWfc&#10;E0YDzF6D/fcNdQIj9V6DiqqCkDisySDT8xIMd+pZnXqoZpCqwQGjcXsTxgHfWCfXHdxUJGK0uQLl&#10;tTKpIqpyRLXXK8xXqmD/FsQBPrVT1O8Xa/ELAAD//wMAUEsDBBQABgAIAAAAIQDFTfz92AAAAAcB&#10;AAAPAAAAZHJzL2Rvd25yZXYueG1sTI5NT8MwEETvSPwHaytxo85HiaIQpwIkrkgNXLg58ZJEjdcm&#10;dtvw79me4Dh6o5lX71c7izMuYXKkIN0mIJB6ZyYaFHy8v96XIELUZPTsCBX8YIB9c3tT68q4Cx3w&#10;3MZB8AiFSisYY/SVlKEf0eqwdR6J2ZdbrI4cl0GaRV943M4yS5JCWj0RP4za48uI/bE9Wf79zNvE&#10;l9/PA9m33aErfN4VD0rdbdanRxAR1/hXhqs+q0PDTp07kQliVpClZcpVBTsQV5yUGeeOQQ6yqeV/&#10;/+YXAAD//wMAUEsBAi0AFAAGAAgAAAAhALaDOJL+AAAA4QEAABMAAAAAAAAAAAAAAAAAAAAAAFtD&#10;b250ZW50X1R5cGVzXS54bWxQSwECLQAUAAYACAAAACEAOP0h/9YAAACUAQAACwAAAAAAAAAAAAAA&#10;AAAvAQAAX3JlbHMvLnJlbHNQSwECLQAUAAYACAAAACEAJ0pl3XQCAAD5BAAADgAAAAAAAAAAAAAA&#10;AAAuAgAAZHJzL2Uyb0RvYy54bWxQSwECLQAUAAYACAAAACEAxU38/dgAAAAHAQAADwAAAAAAAAAA&#10;AAAAAADOBAAAZHJzL2Rvd25yZXYueG1sUEsFBgAAAAAEAAQA8wAAANMFAAAAAA==&#10;" fillcolor="black" stroked="f" strokeweight="0">
              <w10:wrap anchorx="page"/>
              <w10:anchorlock/>
            </v:rect>
          </w:pict>
        </mc:Fallback>
      </mc:AlternateContent>
    </w:r>
  </w:p>
  <w:p w14:paraId="48109C41" w14:textId="77777777" w:rsidR="00F843B9" w:rsidRDefault="00F843B9" w:rsidP="008B6636">
    <w:r>
      <w:t>July 2001</w:t>
    </w:r>
    <w:r>
      <w:tab/>
      <w:t>GAO/PCIE Financial Audit Manual</w:t>
    </w:r>
    <w:r>
      <w:tab/>
      <w:t>Page 320-</w:t>
    </w:r>
    <w:r>
      <w:fldChar w:fldCharType="begin"/>
    </w:r>
    <w:r>
      <w:instrText xml:space="preserve">PAGE </w:instrText>
    </w:r>
    <w:r>
      <w:fldChar w:fldCharType="separate"/>
    </w:r>
    <w:r>
      <w:rPr>
        <w:noProof/>
      </w:rPr>
      <w:t>4</w:t>
    </w:r>
    <w:r>
      <w:rPr>
        <w:noProof/>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6A099" w14:textId="1ECCF214" w:rsidR="00F843B9" w:rsidRPr="00D20FD5" w:rsidRDefault="00513F1E" w:rsidP="00A2562F">
    <w:pPr>
      <w:pStyle w:val="Footer"/>
      <w:spacing w:after="0"/>
    </w:pPr>
    <w:r>
      <w:rPr>
        <w:color w:val="000000" w:themeColor="text1"/>
      </w:rPr>
      <w:t>June 2024</w:t>
    </w:r>
    <w:r w:rsidR="00F843B9" w:rsidRPr="00D20FD5">
      <w:tab/>
    </w:r>
    <w:r w:rsidR="00F843B9">
      <w:t xml:space="preserve">                </w:t>
    </w:r>
    <w:r w:rsidR="00F843B9" w:rsidRPr="00D20FD5">
      <w:t>GAO/</w:t>
    </w:r>
    <w:r w:rsidR="00F843B9">
      <w:t>CIGIE</w:t>
    </w:r>
    <w:r w:rsidR="00F843B9" w:rsidRPr="00D20FD5">
      <w:t xml:space="preserve"> Financial Audit Manual</w:t>
    </w:r>
    <w:r w:rsidR="00F843B9" w:rsidRPr="00D20FD5">
      <w:tab/>
      <w:t>Page 320-</w:t>
    </w:r>
    <w:r w:rsidR="00F843B9" w:rsidRPr="00D20FD5">
      <w:fldChar w:fldCharType="begin"/>
    </w:r>
    <w:r w:rsidR="00F843B9" w:rsidRPr="00D20FD5">
      <w:instrText xml:space="preserve">PAGE </w:instrText>
    </w:r>
    <w:r w:rsidR="00F843B9" w:rsidRPr="00D20FD5">
      <w:fldChar w:fldCharType="separate"/>
    </w:r>
    <w:r w:rsidR="00695A76">
      <w:rPr>
        <w:noProof/>
      </w:rPr>
      <w:t>3</w:t>
    </w:r>
    <w:r w:rsidR="00F843B9" w:rsidRPr="00D20FD5">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D88F9" w14:textId="77777777" w:rsidR="00F843B9" w:rsidRDefault="00F843B9" w:rsidP="00CC5F9D">
    <w:pPr>
      <w:pStyle w:val="Header"/>
    </w:pPr>
  </w:p>
  <w:p w14:paraId="669CA70D" w14:textId="77777777" w:rsidR="00F843B9" w:rsidRDefault="00F843B9" w:rsidP="008B6636">
    <w:r>
      <w:rPr>
        <w:noProof/>
      </w:rPr>
      <mc:AlternateContent>
        <mc:Choice Requires="wps">
          <w:drawing>
            <wp:anchor distT="0" distB="0" distL="114300" distR="114300" simplePos="0" relativeHeight="251641344" behindDoc="1" locked="1" layoutInCell="0" allowOverlap="1" wp14:anchorId="578F7A41" wp14:editId="3651F85D">
              <wp:simplePos x="0" y="0"/>
              <wp:positionH relativeFrom="page">
                <wp:posOffset>1600200</wp:posOffset>
              </wp:positionH>
              <wp:positionV relativeFrom="paragraph">
                <wp:posOffset>0</wp:posOffset>
              </wp:positionV>
              <wp:extent cx="5486400" cy="12065"/>
              <wp:effectExtent l="0" t="0" r="0" b="0"/>
              <wp:wrapNone/>
              <wp:docPr id="40"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D3EFDF" id="Rectangle 27" o:spid="_x0000_s1026" style="position:absolute;margin-left:126pt;margin-top:0;width:6in;height:.95pt;z-index:-251675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0pwcwIAAPkEAAAOAAAAZHJzL2Uyb0RvYy54bWysVNuO0zAQfUfiHyy/d3NReknUdLXbpQhp&#10;gRULH+DaTmLh2MZ2my6If2fstKULLytEH1xPZjw+c+aMl9eHXqI9t05oVePsKsWIK6qZUG2Nv3ze&#10;TBYYOU8UI1IrXuMn7vD16vWr5WAqnutOS8YtgiTKVYOpcee9qZLE0Y73xF1pwxU4G2174sG0bcIs&#10;GSB7L5M8TWfJoC0zVlPuHHy9G514FfM3Daf+Y9M47pGsMWDzcbVx3YY1WS1J1VpiOkGPMMg/oOiJ&#10;UHDpOdUd8QTtrPgrVS+o1U43/orqPtFNIyiPNUA1WfpHNY8dMTzWAuQ4c6bJ/b+09MP+wSLBalwA&#10;PYr00KNPwBpRreQonweCBuMqiHs0DzaU6My9pl8dUnrdQRi/sVYPHScMYGUhPnl2IBgOjqLt8F4z&#10;SE92XkeuDo3tQ0JgAR1iS57OLeEHjyh8nBaLWZECNAq+LE9n03gDqU6HjXX+Ldc9CpsaW8Aek5P9&#10;vfMBDKlOIRG8loJthJTRsO12LS3ak6CO+Dtmd5dhUoVgpcOxMeP4BTDCHcEX0MZu/yizvEhv83Ky&#10;mS3mk2JTTCflPF1M0qy8LWdpURZ3m58BYFZUnWCMq3uh+El5WfGyzh5nYNRM1B4aAnWxqEvo7mUV&#10;9sLDFErR13hxpoFUoalvFIOaSeWJkOM+eY49UgwEnP4jJVECoeujeraaPYECrIYOQS/hvYBNp+13&#10;jAaYvRq7bztiOUbynQIVlVkR1OijUUznORj20rO99BBFIVWNPUbjdu3HAd8ZK9oObsoiMUrfgPIa&#10;EVURVDmiOuoV5itWcHwLwgBf2jHq94u1+gUAAP//AwBQSwMEFAAGAAgAAAAhAGR34yzbAAAABwEA&#10;AA8AAABkcnMvZG93bnJldi54bWxMj0FPwzAMhe9I+w+RJ3FjabutGqXpBEhcJ63jwi1tTFvROKHJ&#10;tvLv8U5wsZ71rPc+l/vZjuKCUxgcKUhXCQik1pmBOgXvp7eHHYgQNRk9OkIFPxhgXy3uSl0Yd6Uj&#10;XurYCQ6hUGgFfYy+kDK0PVodVs4jsffpJqsjr1MnzaSvHG5HmSVJLq0eiBt67fG1x/arPlvu/VjX&#10;id99v3RkD5tjk/t1k2+Vul/Oz08gIs7x7xhu+IwOFTM17kwmiFFBts34l6iA581O05xVw+oRZFXK&#10;//zVLwAAAP//AwBQSwECLQAUAAYACAAAACEAtoM4kv4AAADhAQAAEwAAAAAAAAAAAAAAAAAAAAAA&#10;W0NvbnRlbnRfVHlwZXNdLnhtbFBLAQItABQABgAIAAAAIQA4/SH/1gAAAJQBAAALAAAAAAAAAAAA&#10;AAAAAC8BAABfcmVscy8ucmVsc1BLAQItABQABgAIAAAAIQAdE0pwcwIAAPkEAAAOAAAAAAAAAAAA&#10;AAAAAC4CAABkcnMvZTJvRG9jLnhtbFBLAQItABQABgAIAAAAIQBkd+Ms2wAAAAcBAAAPAAAAAAAA&#10;AAAAAAAAAM0EAABkcnMvZG93bnJldi54bWxQSwUGAAAAAAQABADzAAAA1QUAAAAA&#10;" o:allowincell="f" fillcolor="black" stroked="f" strokeweight="0">
              <w10:wrap anchorx="page"/>
              <w10:anchorlock/>
            </v:rect>
          </w:pict>
        </mc:Fallback>
      </mc:AlternateContent>
    </w:r>
  </w:p>
  <w:p w14:paraId="22C17B76" w14:textId="77777777" w:rsidR="00F843B9" w:rsidRDefault="00F843B9" w:rsidP="008B6636">
    <w:r>
      <w:t>July 2001</w:t>
    </w:r>
    <w:r>
      <w:tab/>
      <w:t>GAO/PCIE Financial Audit Manual</w:t>
    </w:r>
    <w:r>
      <w:tab/>
      <w:t>Page 320-</w:t>
    </w:r>
    <w:r>
      <w:fldChar w:fldCharType="begin"/>
    </w:r>
    <w:r>
      <w:instrText xml:space="preserve">PAGE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1EBAF" w14:textId="77777777" w:rsidR="00F843B9" w:rsidRDefault="00F843B9" w:rsidP="00070A77">
      <w:r>
        <w:separator/>
      </w:r>
    </w:p>
  </w:footnote>
  <w:footnote w:type="continuationSeparator" w:id="0">
    <w:p w14:paraId="7AD5DF02" w14:textId="77777777" w:rsidR="00F843B9" w:rsidRDefault="00F843B9" w:rsidP="00A17112">
      <w:pPr>
        <w:spacing w:before="0" w:after="0"/>
      </w:pPr>
      <w:r>
        <w:continuationSeparator/>
      </w:r>
    </w:p>
  </w:footnote>
  <w:footnote w:type="continuationNotice" w:id="1">
    <w:p w14:paraId="2E985004" w14:textId="77777777" w:rsidR="00F843B9" w:rsidRDefault="00F843B9">
      <w:pPr>
        <w:spacing w:before="0" w:after="0"/>
      </w:pPr>
    </w:p>
  </w:footnote>
  <w:footnote w:id="2">
    <w:p w14:paraId="35A65C79" w14:textId="3680CE9E" w:rsidR="00F843B9" w:rsidRPr="000A7FD1" w:rsidRDefault="00F843B9" w:rsidP="00B71C82">
      <w:pPr>
        <w:pStyle w:val="FootnoteText"/>
        <w:spacing w:before="0"/>
      </w:pPr>
      <w:r w:rsidRPr="000A7FD1">
        <w:rPr>
          <w:rStyle w:val="FootnoteReference"/>
          <w:sz w:val="22"/>
        </w:rPr>
        <w:footnoteRef/>
      </w:r>
      <w:r w:rsidRPr="000A7FD1">
        <w:t xml:space="preserve">In this </w:t>
      </w:r>
      <w:r w:rsidR="00430400" w:rsidRPr="000A7FD1">
        <w:t>paragraph</w:t>
      </w:r>
      <w:r w:rsidRPr="000A7FD1">
        <w:t xml:space="preserve">, “auditor” refers to the user auditor and “entity” refers to </w:t>
      </w:r>
      <w:r w:rsidR="005A0CD3" w:rsidRPr="000A7FD1">
        <w:t xml:space="preserve">the </w:t>
      </w:r>
      <w:r w:rsidRPr="000A7FD1">
        <w:t>user entity</w:t>
      </w:r>
      <w:r w:rsidR="005A0CD3" w:rsidRPr="000A7FD1">
        <w:t>,</w:t>
      </w:r>
      <w:r w:rsidRPr="000A7FD1">
        <w:t xml:space="preserve"> as defined in AU-C 402</w:t>
      </w:r>
      <w:r w:rsidR="00977512" w:rsidRPr="000A7FD1">
        <w:t xml:space="preserve">, </w:t>
      </w:r>
      <w:r w:rsidR="00977512" w:rsidRPr="000A7FD1">
        <w:rPr>
          <w:i/>
          <w:iCs/>
        </w:rPr>
        <w:t>Audit Considerations Relating to an Entity Using a Service Organization</w:t>
      </w:r>
      <w:r w:rsidRPr="000A7FD1">
        <w:t>.</w:t>
      </w:r>
      <w:r w:rsidR="00430400" w:rsidRPr="000A7FD1">
        <w:t xml:space="preserve"> AU-C 402 defines (1) user entity as an entity that uses a service organization and whose financial statements are being audited and (2) user auditor as an auditor who audits and reports on the financial statements of a user entity.</w:t>
      </w:r>
    </w:p>
  </w:footnote>
  <w:footnote w:id="3">
    <w:p w14:paraId="12987816" w14:textId="06834796" w:rsidR="00F843B9" w:rsidRPr="000A7FD1" w:rsidRDefault="00F843B9" w:rsidP="00B71C82">
      <w:pPr>
        <w:pStyle w:val="FootnoteText"/>
        <w:spacing w:before="0"/>
        <w:rPr>
          <w:sz w:val="20"/>
        </w:rPr>
      </w:pPr>
      <w:r w:rsidRPr="000A7FD1">
        <w:rPr>
          <w:rStyle w:val="FootnoteReference"/>
          <w:sz w:val="22"/>
        </w:rPr>
        <w:footnoteRef/>
      </w:r>
      <w:r w:rsidRPr="000A7FD1">
        <w:t>As indicated in FAM 260, the Federal Managers’ Financial Integrity Act report and its supporting documentation may be used as a starting point for understanding and evaluating internal control. The auditor may use management’s documentation of systems and internal control, including OMB Circular No. A-123 work, where appropriate. The auditor may use management’s tests of controls as part of the auditor’s tests of controls if such tests were executed by competent individuals independent of the controls. (See FAM 640 and FAM 645 for further information.)</w:t>
      </w:r>
    </w:p>
  </w:footnote>
  <w:footnote w:id="4">
    <w:p w14:paraId="0185AFD7" w14:textId="461ADAF8" w:rsidR="002B3D5C" w:rsidRPr="000A7FD1" w:rsidRDefault="002B3D5C">
      <w:pPr>
        <w:pStyle w:val="FootnoteText"/>
      </w:pPr>
      <w:r w:rsidRPr="000A7FD1">
        <w:rPr>
          <w:rStyle w:val="FootnoteReference"/>
          <w:sz w:val="22"/>
        </w:rPr>
        <w:footnoteRef/>
      </w:r>
      <w:r w:rsidRPr="000A7FD1">
        <w:t>Per OMB reporting guidance, the reconciliation of net cost to net outlays may be presented as a financial statement or note to the financial statements.</w:t>
      </w:r>
    </w:p>
  </w:footnote>
  <w:footnote w:id="5">
    <w:p w14:paraId="0C76A33F" w14:textId="32D4405E" w:rsidR="007A2F57" w:rsidRPr="000A7FD1" w:rsidRDefault="007A2F57" w:rsidP="007A2F57">
      <w:pPr>
        <w:pStyle w:val="FootnoteText"/>
        <w:spacing w:before="0"/>
        <w:rPr>
          <w:sz w:val="20"/>
        </w:rPr>
      </w:pPr>
      <w:r w:rsidRPr="000A7FD1">
        <w:rPr>
          <w:rStyle w:val="FootnoteReference"/>
          <w:sz w:val="22"/>
        </w:rPr>
        <w:footnoteRef/>
      </w:r>
      <w:r w:rsidRPr="000A7FD1">
        <w:t>“</w:t>
      </w:r>
      <w:r w:rsidR="00451FAE" w:rsidRPr="000A7FD1">
        <w:t>R</w:t>
      </w:r>
      <w:r w:rsidRPr="000A7FD1">
        <w:t xml:space="preserve">elevant control activities” as used in the FAM </w:t>
      </w:r>
      <w:r w:rsidR="0045435F" w:rsidRPr="000A7FD1">
        <w:t>are referred to as</w:t>
      </w:r>
      <w:r w:rsidRPr="000A7FD1">
        <w:t xml:space="preserve"> identified controls </w:t>
      </w:r>
      <w:r w:rsidR="0045435F" w:rsidRPr="000A7FD1">
        <w:t>or</w:t>
      </w:r>
      <w:r w:rsidRPr="000A7FD1">
        <w:t xml:space="preserve"> controls that address the risks of material misstatement </w:t>
      </w:r>
      <w:r w:rsidR="00451FAE" w:rsidRPr="000A7FD1">
        <w:t xml:space="preserve">at the assertion level </w:t>
      </w:r>
      <w:r w:rsidRPr="000A7FD1">
        <w:t>in AU-C 315. FAM 395 C presents a list of typical control activities that an entity may establish to help prevent, or detect and correct, misstatements in assertions.</w:t>
      </w:r>
    </w:p>
  </w:footnote>
  <w:footnote w:id="6">
    <w:p w14:paraId="53EFD14A" w14:textId="41225EFA" w:rsidR="00A91B63" w:rsidRPr="000A7FD1" w:rsidRDefault="00A91B63" w:rsidP="00A91B63">
      <w:pPr>
        <w:pStyle w:val="FootnoteText"/>
      </w:pPr>
      <w:r w:rsidRPr="000A7FD1">
        <w:rPr>
          <w:rStyle w:val="FootnoteReference"/>
          <w:sz w:val="22"/>
        </w:rPr>
        <w:footnoteRef/>
      </w:r>
      <w:r w:rsidRPr="000A7FD1">
        <w:t>In the FAM, control activities include controls within the control environment, entity risk assessment, information and communication, and monitoring components that directly address risks of material misstatement at the assertion level</w:t>
      </w:r>
      <w:r w:rsidR="00D06AD2" w:rsidRPr="000A7FD1">
        <w:t xml:space="preserve"> (see FAM 360.19).</w:t>
      </w:r>
    </w:p>
  </w:footnote>
  <w:footnote w:id="7">
    <w:p w14:paraId="357C2493" w14:textId="0493D3DE" w:rsidR="00F843B9" w:rsidRPr="000A7FD1" w:rsidRDefault="00F843B9" w:rsidP="00B71C82">
      <w:pPr>
        <w:pStyle w:val="FootnoteText"/>
        <w:spacing w:before="0"/>
      </w:pPr>
      <w:r w:rsidRPr="000A7FD1">
        <w:rPr>
          <w:rStyle w:val="FootnoteReference"/>
          <w:sz w:val="22"/>
        </w:rPr>
        <w:footnoteRef/>
      </w:r>
      <w:r w:rsidRPr="000A7FD1">
        <w:t>Nonstatistical sampling is generally not used in tests of controls.</w:t>
      </w:r>
    </w:p>
  </w:footnote>
  <w:footnote w:id="8">
    <w:p w14:paraId="2AAF4A75" w14:textId="2A574253" w:rsidR="00F843B9" w:rsidRPr="000A7FD1" w:rsidRDefault="00F843B9" w:rsidP="00B71C82">
      <w:pPr>
        <w:pStyle w:val="FootnoteText"/>
        <w:spacing w:before="0"/>
      </w:pPr>
      <w:r w:rsidRPr="000A7FD1">
        <w:rPr>
          <w:rStyle w:val="FootnoteReference"/>
          <w:sz w:val="22"/>
        </w:rPr>
        <w:footnoteRef/>
      </w:r>
      <w:r w:rsidRPr="000A7FD1">
        <w:t xml:space="preserve">See GAO, </w:t>
      </w:r>
      <w:r w:rsidRPr="000A7FD1">
        <w:rPr>
          <w:i/>
        </w:rPr>
        <w:t xml:space="preserve">Federal Information System Controls Audit Manual </w:t>
      </w:r>
      <w:r w:rsidRPr="00F47ABB">
        <w:rPr>
          <w:iCs/>
        </w:rPr>
        <w:t xml:space="preserve">(FISCAM), </w:t>
      </w:r>
      <w:hyperlink r:id="rId1" w:history="1">
        <w:r w:rsidRPr="0002523F">
          <w:rPr>
            <w:rStyle w:val="Hyperlink"/>
          </w:rPr>
          <w:t>GAO-09-232G</w:t>
        </w:r>
      </w:hyperlink>
      <w:r w:rsidRPr="000A7FD1">
        <w:t xml:space="preserve"> (Washington, D.C.: February 2009), for further information.</w:t>
      </w:r>
    </w:p>
  </w:footnote>
  <w:footnote w:id="9">
    <w:p w14:paraId="21C835F5" w14:textId="66545121" w:rsidR="00F843B9" w:rsidRPr="000A7FD1" w:rsidRDefault="00F843B9" w:rsidP="00B71C82">
      <w:pPr>
        <w:pStyle w:val="FootnoteText"/>
        <w:spacing w:before="0"/>
      </w:pPr>
      <w:r w:rsidRPr="000A7FD1">
        <w:rPr>
          <w:rStyle w:val="FootnoteReference"/>
          <w:sz w:val="22"/>
        </w:rPr>
        <w:footnoteRef/>
      </w:r>
      <w:r w:rsidRPr="000A7FD1">
        <w:t>Refer to FISCAM for further information.</w:t>
      </w:r>
    </w:p>
  </w:footnote>
  <w:footnote w:id="10">
    <w:p w14:paraId="18CACE79" w14:textId="4EA3D6DC" w:rsidR="00F843B9" w:rsidRPr="000A7FD1" w:rsidRDefault="00F843B9" w:rsidP="00B71C82">
      <w:pPr>
        <w:pStyle w:val="FootnoteText"/>
        <w:spacing w:before="0"/>
      </w:pPr>
      <w:r w:rsidRPr="000A7FD1">
        <w:rPr>
          <w:rStyle w:val="FootnoteReference"/>
          <w:sz w:val="22"/>
        </w:rPr>
        <w:footnoteRef/>
      </w:r>
      <w:r w:rsidRPr="000A7FD1">
        <w:t>The auditor may assess the risk of material misstatement on a preliminary basis at an earlier point in the audit, if preferred. This may be particularly appropriate for a recurring audit where the auditor understand</w:t>
      </w:r>
      <w:r w:rsidR="001D5248" w:rsidRPr="000A7FD1">
        <w:t>s</w:t>
      </w:r>
      <w:r w:rsidRPr="000A7FD1">
        <w:t xml:space="preserve"> the design of the control environment, entity risk assessment, information and communication, and monitoring components of internal control.</w:t>
      </w:r>
    </w:p>
  </w:footnote>
  <w:footnote w:id="11">
    <w:p w14:paraId="26353B0E" w14:textId="3B18F567" w:rsidR="0021164B" w:rsidRPr="000A7FD1" w:rsidRDefault="0021164B" w:rsidP="00B71C82">
      <w:pPr>
        <w:pStyle w:val="FootnoteText"/>
        <w:spacing w:before="0"/>
      </w:pPr>
      <w:r w:rsidRPr="000A7FD1">
        <w:rPr>
          <w:rStyle w:val="FootnoteReference"/>
          <w:sz w:val="22"/>
        </w:rPr>
        <w:footnoteRef/>
      </w:r>
      <w:r w:rsidRPr="000A7FD1">
        <w:t>Other data includes information that is recorded along with the transaction amount and is necessary for the proper recording of the transaction, such as transaction description, transaction date, trading partner, cost center, fund code, and other accounting codes that the entity uses.</w:t>
      </w:r>
    </w:p>
  </w:footnote>
  <w:footnote w:id="12">
    <w:p w14:paraId="46B1FBB2" w14:textId="07CEEE82" w:rsidR="00F843B9" w:rsidRPr="000A7FD1" w:rsidRDefault="00F843B9" w:rsidP="00B71C82">
      <w:pPr>
        <w:pStyle w:val="BodyText"/>
        <w:rPr>
          <w:rFonts w:ascii="Arial" w:hAnsi="Arial" w:cs="Arial"/>
          <w:sz w:val="18"/>
          <w:szCs w:val="18"/>
        </w:rPr>
      </w:pPr>
      <w:r w:rsidRPr="000A7FD1">
        <w:rPr>
          <w:rStyle w:val="FootnoteReference"/>
          <w:rFonts w:ascii="Arial" w:hAnsi="Arial" w:cs="Arial"/>
          <w:sz w:val="22"/>
        </w:rPr>
        <w:footnoteRef/>
      </w:r>
      <w:r w:rsidRPr="000A7FD1">
        <w:rPr>
          <w:rFonts w:ascii="Arial" w:hAnsi="Arial" w:cs="Arial"/>
          <w:sz w:val="18"/>
          <w:szCs w:val="18"/>
        </w:rPr>
        <w:t>Segregation-of-duties controls are a type of safeguarding control and are designed to reduce the opportunities for any person to be in a position to both perpetrate and conceal misstatements, especially fraud, in the normal course of duties. Typically, an entity achieves adequate segregation of duties by establishing controls (such as segregating asset custody from recordkeeping functions) to prevent any person from having uncontrolled access to both assets and related records. The lack of segregation-of-duties controls may be pervasive and affect several assertions. The auditor should test segregation-of-duties controls as discussed in FAM 360.09 through .10.</w:t>
      </w:r>
    </w:p>
  </w:footnote>
  <w:footnote w:id="13">
    <w:p w14:paraId="3511AC83" w14:textId="663DDCDC" w:rsidR="00F843B9" w:rsidRPr="000A7FD1" w:rsidRDefault="00F843B9" w:rsidP="00B71C82">
      <w:pPr>
        <w:pStyle w:val="FootnoteText"/>
        <w:spacing w:before="0"/>
      </w:pPr>
      <w:r w:rsidRPr="000A7FD1">
        <w:rPr>
          <w:rStyle w:val="FootnoteReference"/>
          <w:sz w:val="22"/>
        </w:rPr>
        <w:footnoteRef/>
      </w:r>
      <w:r w:rsidRPr="000A7FD1">
        <w:t xml:space="preserve">For additional information on budget execution, see </w:t>
      </w:r>
      <w:r w:rsidR="00211E34" w:rsidRPr="000A7FD1">
        <w:t xml:space="preserve">part 4 of </w:t>
      </w:r>
      <w:r w:rsidRPr="000A7FD1">
        <w:t xml:space="preserve">OMB Circular No. A-11, </w:t>
      </w:r>
      <w:r w:rsidRPr="000A7FD1">
        <w:rPr>
          <w:i/>
        </w:rPr>
        <w:t>Preparation, Submission, and Execution of the Budget</w:t>
      </w:r>
      <w:r w:rsidRPr="000A7FD1">
        <w:t>,</w:t>
      </w:r>
      <w:r w:rsidR="00211E34" w:rsidRPr="000A7FD1">
        <w:t xml:space="preserve"> issued on August 11, 2023</w:t>
      </w:r>
      <w:r w:rsidRPr="000A7FD1">
        <w:rPr>
          <w:i/>
        </w:rPr>
        <w:t>.</w:t>
      </w:r>
      <w:r w:rsidRPr="000A7FD1">
        <w:t xml:space="preserve"> OMB circulars are updated periodically, and the current version can be found on the OMB website at </w:t>
      </w:r>
      <w:hyperlink r:id="rId2" w:history="1">
        <w:r w:rsidRPr="000A7FD1">
          <w:rPr>
            <w:rStyle w:val="Hyperlink"/>
          </w:rPr>
          <w:t>https://www.whitehouse.gov/omb/information-for-agencies/circulars/</w:t>
        </w:r>
      </w:hyperlink>
      <w:r w:rsidRPr="000A7FD1">
        <w:rPr>
          <w:rStyle w:val="Hyperlink"/>
          <w:color w:val="auto"/>
          <w:u w:val="none"/>
        </w:rPr>
        <w:t xml:space="preserve"> (accessed </w:t>
      </w:r>
      <w:r w:rsidR="0077784D" w:rsidRPr="000A7FD1">
        <w:rPr>
          <w:rStyle w:val="Hyperlink"/>
          <w:color w:val="auto"/>
          <w:u w:val="none"/>
        </w:rPr>
        <w:t>June 3, 2024</w:t>
      </w:r>
      <w:r w:rsidRPr="000A7FD1">
        <w:rPr>
          <w:rStyle w:val="Hyperlink"/>
          <w:color w:val="auto"/>
          <w:u w:val="none"/>
        </w:rPr>
        <w:t>)</w:t>
      </w:r>
      <w:r w:rsidRPr="000A7FD1">
        <w:t xml:space="preserve">. Another useful document is GAO, </w:t>
      </w:r>
      <w:r w:rsidRPr="000A7FD1">
        <w:rPr>
          <w:i/>
        </w:rPr>
        <w:t>A Glossary of Terms Used in the Federal Budget Process</w:t>
      </w:r>
      <w:r w:rsidRPr="000A7FD1">
        <w:rPr>
          <w:iCs/>
        </w:rPr>
        <w:t xml:space="preserve">, </w:t>
      </w:r>
      <w:r w:rsidRPr="000A7FD1">
        <w:t xml:space="preserve">GAO-05-734SP (Washington, D.C.: September 2005). The USSGL and related accounting in the TFM can be found at </w:t>
      </w:r>
      <w:hyperlink r:id="rId3" w:history="1">
        <w:r w:rsidR="0077784D" w:rsidRPr="000A7FD1">
          <w:rPr>
            <w:rStyle w:val="Hyperlink"/>
          </w:rPr>
          <w:t>https://tfx.treasury.gov</w:t>
        </w:r>
      </w:hyperlink>
      <w:r w:rsidRPr="000A7FD1">
        <w:rPr>
          <w:rStyle w:val="Hyperlink"/>
          <w:u w:val="none"/>
        </w:rPr>
        <w:t xml:space="preserve"> </w:t>
      </w:r>
      <w:r w:rsidRPr="000A7FD1">
        <w:rPr>
          <w:rStyle w:val="Hyperlink"/>
          <w:color w:val="auto"/>
          <w:u w:val="none"/>
        </w:rPr>
        <w:t xml:space="preserve">(accessed </w:t>
      </w:r>
      <w:r w:rsidR="0077784D" w:rsidRPr="000A7FD1">
        <w:rPr>
          <w:rStyle w:val="Hyperlink"/>
          <w:color w:val="auto"/>
          <w:u w:val="none"/>
        </w:rPr>
        <w:t>June 3, 2024</w:t>
      </w:r>
      <w:r w:rsidRPr="000A7FD1">
        <w:rPr>
          <w:rStyle w:val="Hyperlink"/>
          <w:color w:val="auto"/>
          <w:u w:val="none"/>
        </w:rPr>
        <w:t>)</w:t>
      </w:r>
      <w:r w:rsidRPr="000A7FD1">
        <w:t xml:space="preserve">. </w:t>
      </w:r>
    </w:p>
  </w:footnote>
  <w:footnote w:id="14">
    <w:p w14:paraId="205C1929" w14:textId="3291D9FD" w:rsidR="00F843B9" w:rsidRPr="000A7FD1" w:rsidRDefault="00F843B9" w:rsidP="00B71C82">
      <w:pPr>
        <w:pStyle w:val="FootnoteText"/>
        <w:spacing w:before="0"/>
      </w:pPr>
      <w:r w:rsidRPr="000A7FD1">
        <w:rPr>
          <w:rStyle w:val="FootnoteReference"/>
          <w:sz w:val="22"/>
        </w:rPr>
        <w:footnoteRef/>
      </w:r>
      <w:r w:rsidRPr="000A7FD1">
        <w:t xml:space="preserve">GAO, </w:t>
      </w:r>
      <w:r w:rsidRPr="000A7FD1">
        <w:rPr>
          <w:i/>
        </w:rPr>
        <w:t>A Glossary of Terms Used in the Federal Budget Process,</w:t>
      </w:r>
      <w:r w:rsidRPr="000A7FD1">
        <w:t xml:space="preserve"> </w:t>
      </w:r>
      <w:hyperlink r:id="rId4" w:history="1">
        <w:r w:rsidRPr="00002173">
          <w:rPr>
            <w:rStyle w:val="Hyperlink"/>
          </w:rPr>
          <w:t>GAO-05-734SP</w:t>
        </w:r>
      </w:hyperlink>
      <w:r w:rsidRPr="000A7FD1">
        <w:t xml:space="preserve"> (Washington, D.C.: September 2005).</w:t>
      </w:r>
    </w:p>
  </w:footnote>
  <w:footnote w:id="15">
    <w:p w14:paraId="52F9A947" w14:textId="1A860CF0" w:rsidR="00F843B9" w:rsidRPr="000A7FD1" w:rsidRDefault="00F843B9" w:rsidP="00B71C82">
      <w:pPr>
        <w:pStyle w:val="FootnoteText"/>
        <w:spacing w:before="0"/>
      </w:pPr>
      <w:r w:rsidRPr="000A7FD1">
        <w:rPr>
          <w:rStyle w:val="FootnoteReference"/>
          <w:sz w:val="22"/>
        </w:rPr>
        <w:footnoteRef/>
      </w:r>
      <w:r w:rsidRPr="000A7FD1">
        <w:t xml:space="preserve">In the normal flow of business, when obligations are incurred, a credit to “undelivered orders” or “unexpended obligations - unpaid” is recorded (USSGL account 4801) with a debit to commitments (USSGL account 4700 or 4720). When the budget authority has been used, such as by the receipt of goods or services ordered, the obligation is debited (USSGL account 4801) with a credit to “delivered orders-unpaid” or “expended authority - unpaid” (USSGL account 4901). At this time, a proprietary accounting entry is also made to debit expenditures (usually USSGL account 6100) with a credit to accounts payable (USSGL account 2110). When the obligation is paid and the outlay is made, the transaction is credited to “delivered orders - paid” or “expended authority - paid” (USSGL account 4902). At this time, a proprietary accounting entry is also made to debit accounts payable (USSGL account 2110) with a credit to FBWT (USSGL account 1010). For additional transaction details, see TFM’s U.S. </w:t>
      </w:r>
      <w:r w:rsidRPr="000A7FD1">
        <w:rPr>
          <w:iCs/>
        </w:rPr>
        <w:t>Standard General Ledger Accounting Transactions supplement</w:t>
      </w:r>
      <w:r w:rsidRPr="000A7FD1">
        <w:t>.</w:t>
      </w:r>
    </w:p>
  </w:footnote>
  <w:footnote w:id="16">
    <w:p w14:paraId="4208BBF4" w14:textId="33875BAA" w:rsidR="00F843B9" w:rsidRPr="000A7FD1" w:rsidRDefault="00F843B9" w:rsidP="00B71C82">
      <w:pPr>
        <w:pStyle w:val="FootnoteText"/>
        <w:spacing w:before="0"/>
      </w:pPr>
      <w:r w:rsidRPr="000A7FD1">
        <w:rPr>
          <w:rStyle w:val="FootnoteReference"/>
          <w:sz w:val="22"/>
        </w:rPr>
        <w:footnoteRef/>
      </w:r>
      <w:r w:rsidRPr="000A7FD1">
        <w:t>Unobligated amounts are debited and moved to “allotments – expired authority” with a credit to USSGL account 4650. For no-year appropriations (i.e., those available for obligation for an indefinite period), the appropriation account does not expire. Consistent with 31 U.S. C. § 1555, the appropriation account is closed, and any remaining balance (whether obligated or unobligated) in that account is canceled (and thus no longer available for obligation or expenditure for any purpose) if (1) the entity head or the President determines that the purposes for which the appropriation was made has been carried out and (2) no disbursement has been made against the appropriation for 2 consecutive fiscal years.</w:t>
      </w:r>
    </w:p>
  </w:footnote>
  <w:footnote w:id="17">
    <w:p w14:paraId="232B64AD" w14:textId="77777777" w:rsidR="00F843B9" w:rsidRPr="000A7FD1" w:rsidRDefault="00F843B9" w:rsidP="00B71C82">
      <w:pPr>
        <w:pStyle w:val="FootnoteText"/>
        <w:spacing w:before="0"/>
      </w:pPr>
      <w:r w:rsidRPr="000A7FD1">
        <w:rPr>
          <w:rStyle w:val="FootnoteReference"/>
          <w:sz w:val="22"/>
        </w:rPr>
        <w:footnoteRef/>
      </w:r>
      <w:r w:rsidRPr="000A7FD1">
        <w:t>Amounts of commitments, obligations, and expended authority may differ for a particular item acquired. Commitments are made at “initial” estimates, obligations at “later” estimates, and expended authority at “actual” amounts.</w:t>
      </w:r>
    </w:p>
  </w:footnote>
  <w:footnote w:id="18">
    <w:p w14:paraId="323CD4F5" w14:textId="52F5B717" w:rsidR="00F843B9" w:rsidRPr="000A7FD1" w:rsidRDefault="00F843B9" w:rsidP="00B71C82">
      <w:pPr>
        <w:pStyle w:val="FootnoteText"/>
        <w:spacing w:before="0"/>
      </w:pPr>
      <w:r w:rsidRPr="000A7FD1">
        <w:rPr>
          <w:rStyle w:val="FootnoteReference"/>
          <w:sz w:val="22"/>
        </w:rPr>
        <w:footnoteRef/>
      </w:r>
      <w:r w:rsidRPr="000A7FD1">
        <w:t>Expired authority (USSGL account 4650) is debited and moved to “canceled authority” by a credit to USSGL account 4350. At this time, a proprietary entry is made to debit and reduce “unexpended appropriations” (USSGL account 3106) and to credit and reduce FBWT (USSGL account 1010).</w:t>
      </w:r>
    </w:p>
  </w:footnote>
  <w:footnote w:id="19">
    <w:p w14:paraId="62C27BBE" w14:textId="77777777" w:rsidR="00F843B9" w:rsidRPr="000A7FD1" w:rsidRDefault="00F843B9" w:rsidP="00B71C82">
      <w:pPr>
        <w:pStyle w:val="FootnoteText"/>
        <w:spacing w:before="0"/>
      </w:pPr>
      <w:r w:rsidRPr="000A7FD1">
        <w:rPr>
          <w:rStyle w:val="FootnoteReference"/>
          <w:sz w:val="22"/>
        </w:rPr>
        <w:footnoteRef/>
      </w:r>
      <w:r w:rsidRPr="000A7FD1">
        <w:t>OMB apportionments may, as a result of impoundments (rescissions or deferrals), be less than the amount of the apportionments requested by the entity. The auditor generally should notify OGC of any impoundments that come to the auditor’s attention. OMB may also approve different amounts available than those requested by time period, activity, project, or object class.</w:t>
      </w:r>
    </w:p>
  </w:footnote>
  <w:footnote w:id="20">
    <w:p w14:paraId="6E5575BE" w14:textId="33C25590" w:rsidR="00F843B9" w:rsidRPr="000A7FD1" w:rsidRDefault="00F843B9" w:rsidP="00B71C82">
      <w:pPr>
        <w:pStyle w:val="FootnoteText"/>
        <w:spacing w:before="0"/>
      </w:pPr>
      <w:r w:rsidRPr="000A7FD1">
        <w:rPr>
          <w:rStyle w:val="FootnoteReference"/>
          <w:rFonts w:cs="Arial"/>
          <w:sz w:val="22"/>
        </w:rPr>
        <w:footnoteRef/>
      </w:r>
      <w:r w:rsidRPr="000A7FD1">
        <w:rPr>
          <w:rFonts w:cs="Arial"/>
          <w:szCs w:val="18"/>
        </w:rPr>
        <w:t xml:space="preserve">Other unliquidated obligations include legal duties on the part of the United States that could mature into legal liabilities by virtue of actions on the part of the other party beyond the control of the United States. For example, in a GAO legal decision, an entity that, at the time of grant award, accepted a legal duty to cover the benefits of new participants at the time of a grant award was required to record its maximum amount of liability because the amount of payment was under the control of the grantee. </w:t>
      </w:r>
      <w:r w:rsidRPr="000A7FD1">
        <w:rPr>
          <w:rFonts w:cs="Arial"/>
          <w:bCs/>
          <w:iCs/>
          <w:szCs w:val="18"/>
        </w:rPr>
        <w:t>See</w:t>
      </w:r>
      <w:r w:rsidRPr="000A7FD1">
        <w:rPr>
          <w:rFonts w:cs="Arial"/>
          <w:b/>
          <w:bCs/>
          <w:i/>
          <w:iCs/>
          <w:szCs w:val="18"/>
        </w:rPr>
        <w:t xml:space="preserve"> </w:t>
      </w:r>
      <w:r w:rsidRPr="000A7FD1">
        <w:rPr>
          <w:rFonts w:cs="Arial"/>
          <w:bCs/>
          <w:i/>
          <w:iCs/>
          <w:szCs w:val="18"/>
        </w:rPr>
        <w:t>Obligational Practices of the Corporation for National and Community Service</w:t>
      </w:r>
      <w:r w:rsidRPr="000A7FD1">
        <w:rPr>
          <w:rFonts w:cs="Arial"/>
          <w:szCs w:val="18"/>
        </w:rPr>
        <w:t>, B-300480, Apr. 9, 2003</w:t>
      </w:r>
      <w:r w:rsidRPr="000A7FD1">
        <w:rPr>
          <w:rFonts w:cs="Arial"/>
          <w:i/>
          <w:szCs w:val="18"/>
        </w:rPr>
        <w:t>;</w:t>
      </w:r>
      <w:r w:rsidRPr="000A7FD1">
        <w:rPr>
          <w:rFonts w:cs="Arial"/>
          <w:bCs/>
          <w:i/>
          <w:iCs/>
          <w:szCs w:val="18"/>
        </w:rPr>
        <w:t xml:space="preserve"> Corporation for National and Community Service: Amount of Obligations</w:t>
      </w:r>
      <w:r w:rsidRPr="000A7FD1">
        <w:rPr>
          <w:rFonts w:cs="Arial"/>
          <w:bCs/>
          <w:i/>
          <w:szCs w:val="18"/>
        </w:rPr>
        <w:t>,</w:t>
      </w:r>
      <w:r w:rsidRPr="000A7FD1">
        <w:rPr>
          <w:rFonts w:cs="Arial"/>
          <w:b/>
          <w:bCs/>
          <w:szCs w:val="18"/>
        </w:rPr>
        <w:t xml:space="preserve"> </w:t>
      </w:r>
      <w:r w:rsidRPr="000A7FD1">
        <w:rPr>
          <w:rFonts w:cs="Arial"/>
          <w:szCs w:val="18"/>
        </w:rPr>
        <w:t>B-300480.2, June 6, 2003</w:t>
      </w:r>
      <w:r w:rsidRPr="000A7FD1">
        <w:rPr>
          <w:rFonts w:cs="Arial"/>
          <w:color w:val="1F497D"/>
          <w:szCs w:val="18"/>
        </w:rPr>
        <w:t>.</w:t>
      </w:r>
    </w:p>
  </w:footnote>
  <w:footnote w:id="21">
    <w:p w14:paraId="494D19C9" w14:textId="4D7C2B2F" w:rsidR="00F843B9" w:rsidRPr="000A7FD1" w:rsidRDefault="00F843B9" w:rsidP="00B71C82">
      <w:pPr>
        <w:pStyle w:val="FootnoteText"/>
        <w:spacing w:before="0"/>
      </w:pPr>
      <w:r w:rsidRPr="000A7FD1">
        <w:rPr>
          <w:rStyle w:val="FootnoteReference"/>
          <w:sz w:val="22"/>
        </w:rPr>
        <w:footnoteRef/>
      </w:r>
      <w:r w:rsidRPr="000A7FD1">
        <w:t>The term current has the same meaning as in section 250(c)(9) of the Balanced Budget and Emergency Deficit Control Act of 1985.</w:t>
      </w:r>
    </w:p>
  </w:footnote>
  <w:footnote w:id="22">
    <w:p w14:paraId="430781CD" w14:textId="51C454AA" w:rsidR="00013E6A" w:rsidRPr="000A7FD1" w:rsidRDefault="00013E6A" w:rsidP="00013E6A">
      <w:pPr>
        <w:pStyle w:val="FootnoteText"/>
        <w:spacing w:before="0"/>
      </w:pPr>
      <w:r w:rsidRPr="000A7FD1">
        <w:rPr>
          <w:rStyle w:val="FootnoteReference"/>
          <w:sz w:val="22"/>
        </w:rPr>
        <w:footnoteRef/>
      </w:r>
      <w:r w:rsidRPr="000A7FD1">
        <w:t>The auditor may (1) commingle the documentation of compliance (including budget), operations, and safeguarding controls with that of financial reporting controls to the extent appropriate on an SCE worksheet</w:t>
      </w:r>
      <w:r w:rsidR="00EE0568" w:rsidRPr="000A7FD1">
        <w:t>;</w:t>
      </w:r>
      <w:r w:rsidRPr="000A7FD1">
        <w:t xml:space="preserve"> (2) list these controls in a separate section(s) within the SCE worksheet</w:t>
      </w:r>
      <w:r w:rsidR="00EE0568" w:rsidRPr="000A7FD1">
        <w:t>;</w:t>
      </w:r>
      <w:r w:rsidRPr="000A7FD1">
        <w:t xml:space="preserve"> or (3) present each type of control in a separate SCE worksheet.</w:t>
      </w:r>
    </w:p>
  </w:footnote>
  <w:footnote w:id="23">
    <w:p w14:paraId="5EBBCE8E" w14:textId="1D0A68B0" w:rsidR="00C35877" w:rsidRPr="000A7FD1" w:rsidRDefault="00C35877">
      <w:pPr>
        <w:pStyle w:val="FootnoteText"/>
      </w:pPr>
      <w:r w:rsidRPr="000A7FD1">
        <w:rPr>
          <w:rStyle w:val="FootnoteReference"/>
          <w:sz w:val="22"/>
        </w:rPr>
        <w:footnoteRef/>
      </w:r>
      <w:r w:rsidRPr="000A7FD1">
        <w:t xml:space="preserve">If inherent risk is assessed at remote, enter N/A in columns 5 through 14. </w:t>
      </w:r>
      <w:r w:rsidR="006D2E0B" w:rsidRPr="000A7FD1">
        <w:t xml:space="preserve">If the auditor is providing an opinion on internal control, </w:t>
      </w:r>
      <w:r w:rsidRPr="000A7FD1">
        <w:t>the auditor should perform control tests</w:t>
      </w:r>
      <w:r w:rsidR="006D2E0B" w:rsidRPr="000A7FD1">
        <w:t xml:space="preserve"> for all material line items, accounts, note disclosures, and classes of transactions.</w:t>
      </w:r>
    </w:p>
  </w:footnote>
  <w:footnote w:id="24">
    <w:p w14:paraId="0CA538DD" w14:textId="6B97E369" w:rsidR="00C35877" w:rsidRPr="000A7FD1" w:rsidRDefault="00C35877">
      <w:pPr>
        <w:pStyle w:val="FootnoteText"/>
      </w:pPr>
      <w:r w:rsidRPr="000A7FD1">
        <w:rPr>
          <w:rStyle w:val="FootnoteReference"/>
          <w:sz w:val="22"/>
        </w:rPr>
        <w:footnoteRef/>
      </w:r>
      <w:r w:rsidRPr="000A7FD1">
        <w:t>Segregation of duties involves segregating work responsibilities so that one individual does not control all critical stages of a process, allowing that person to both cause and conceal misstatements whether due to error or fraud. In assessing control risk for the identified risks of material misstatements listed above, the auditor considers the risk that inadequate segregation of duties could result in material misstatements to the financial statements. Segregation of duties procedures as discussed in FAM 360 should be documented</w:t>
      </w:r>
      <w:r w:rsidR="00474EFC" w:rsidRPr="000A7FD1">
        <w:t>,</w:t>
      </w:r>
      <w:r w:rsidRPr="000A7FD1">
        <w:t xml:space="preserve"> and the conclusions should be summarized here. </w:t>
      </w:r>
    </w:p>
  </w:footnote>
  <w:footnote w:id="25">
    <w:p w14:paraId="1BCC3CBE" w14:textId="1D7C57EC" w:rsidR="00C35877" w:rsidRPr="000A7FD1" w:rsidRDefault="00C35877">
      <w:pPr>
        <w:pStyle w:val="FootnoteText"/>
      </w:pPr>
      <w:r w:rsidRPr="000A7FD1">
        <w:rPr>
          <w:rStyle w:val="FootnoteReference"/>
          <w:sz w:val="22"/>
        </w:rPr>
        <w:footnoteRef/>
      </w:r>
      <w:r w:rsidRPr="000A7FD1">
        <w:t>In assessing inherent risk and control risk for the identified risks of material misstatement listed above, the auditor considers the risk that noncompliance with laws, regulations, contracts, and grant agreements could result in material misstatements to the financial statements. The auditor may commingle compliance controls (including budget) with financial reporting controls as appropriate, list them in a separate section of this SCE</w:t>
      </w:r>
      <w:r w:rsidR="00BF6A9B" w:rsidRPr="000A7FD1">
        <w:t xml:space="preserve"> </w:t>
      </w:r>
      <w:r w:rsidR="00BF6A9B" w:rsidRPr="000A7FD1">
        <w:rPr>
          <w:rFonts w:cs="Arial"/>
          <w:szCs w:val="18"/>
        </w:rPr>
        <w:t>worksheet</w:t>
      </w:r>
      <w:r w:rsidRPr="000A7FD1">
        <w:rPr>
          <w:szCs w:val="18"/>
        </w:rPr>
        <w:t>,</w:t>
      </w:r>
      <w:r w:rsidRPr="000A7FD1">
        <w:t xml:space="preserve"> or include them in a separate SCE</w:t>
      </w:r>
      <w:r w:rsidR="00BF6A9B" w:rsidRPr="000A7FD1">
        <w:t xml:space="preserve"> </w:t>
      </w:r>
      <w:r w:rsidR="00BF6A9B" w:rsidRPr="000A7FD1">
        <w:rPr>
          <w:rFonts w:cs="Arial"/>
          <w:szCs w:val="18"/>
        </w:rPr>
        <w:t>worksheet</w:t>
      </w:r>
      <w:r w:rsidRPr="000A7FD1">
        <w:t xml:space="preserve">. See FAM 800 for examples of compliance SCE worksheets for laws and regulations.  </w:t>
      </w:r>
    </w:p>
  </w:footnote>
  <w:footnote w:id="26">
    <w:p w14:paraId="245B856B" w14:textId="7A155EBF" w:rsidR="009F46DC" w:rsidRPr="00095878" w:rsidRDefault="009F46DC">
      <w:pPr>
        <w:pStyle w:val="FootnoteText"/>
        <w:rPr>
          <w:szCs w:val="18"/>
        </w:rPr>
      </w:pPr>
      <w:r w:rsidRPr="000A7FD1">
        <w:rPr>
          <w:rStyle w:val="FootnoteReference"/>
          <w:sz w:val="22"/>
        </w:rPr>
        <w:footnoteRef/>
      </w:r>
      <w:r w:rsidRPr="000A7FD1">
        <w:t xml:space="preserve">If inherent risk is assessed at remote, enter N/A for columns 6 through 10. </w:t>
      </w:r>
      <w:r w:rsidR="00431346" w:rsidRPr="000A7FD1">
        <w:t>If</w:t>
      </w:r>
      <w:r w:rsidR="003B3190" w:rsidRPr="000A7FD1">
        <w:t xml:space="preserve"> </w:t>
      </w:r>
      <w:r w:rsidR="005116A0" w:rsidRPr="000A7FD1">
        <w:t xml:space="preserve">inherent risk is remote for </w:t>
      </w:r>
      <w:r w:rsidR="003B3190" w:rsidRPr="000A7FD1">
        <w:t>all identified risks of material misstatement</w:t>
      </w:r>
      <w:r w:rsidR="00431346" w:rsidRPr="000A7FD1">
        <w:t>, see FAM 395 H.03 for instructions.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850FF" w14:textId="77777777" w:rsidR="00F843B9" w:rsidRPr="00B83DD0" w:rsidRDefault="00F843B9" w:rsidP="00CC5F9D">
    <w:pPr>
      <w:pStyle w:val="Header"/>
    </w:pPr>
    <w:r w:rsidRPr="00B83DD0">
      <w:t>Internal Control Phase</w:t>
    </w:r>
  </w:p>
  <w:p w14:paraId="3FE7F3AB" w14:textId="77777777" w:rsidR="00F843B9" w:rsidRPr="00B83DD0" w:rsidRDefault="00F843B9" w:rsidP="00CC5F9D">
    <w:pPr>
      <w:pStyle w:val="Header"/>
    </w:pPr>
    <w:r w:rsidRPr="00B83DD0">
      <w:t>300 – Overview</w:t>
    </w:r>
    <w:r>
      <w:t xml:space="preserve"> of the Internal Control Phase</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E3F40" w14:textId="77777777" w:rsidR="00F843B9" w:rsidRDefault="00F843B9" w:rsidP="008B6636">
    <w:r>
      <w:rPr>
        <w:noProof/>
      </w:rPr>
      <mc:AlternateContent>
        <mc:Choice Requires="wps">
          <w:drawing>
            <wp:anchor distT="0" distB="0" distL="114300" distR="114300" simplePos="0" relativeHeight="251649536" behindDoc="1" locked="1" layoutInCell="1" allowOverlap="1" wp14:anchorId="01B1DF15" wp14:editId="1FC7CD32">
              <wp:simplePos x="0" y="0"/>
              <wp:positionH relativeFrom="page">
                <wp:posOffset>1384935</wp:posOffset>
              </wp:positionH>
              <wp:positionV relativeFrom="paragraph">
                <wp:posOffset>-35560</wp:posOffset>
              </wp:positionV>
              <wp:extent cx="5486400" cy="12065"/>
              <wp:effectExtent l="3810" t="2540" r="0" b="4445"/>
              <wp:wrapNone/>
              <wp:docPr id="39"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51DEB2" id="Rectangle 35" o:spid="_x0000_s1026" style="position:absolute;margin-left:109.05pt;margin-top:-2.8pt;width:6in;height:.95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GPDdgIAAPkEAAAOAAAAZHJzL2Uyb0RvYy54bWysVNuO0zAQfUfiHyy/t0m66SVR09VuSxHS&#10;AisWPsC1ncbCsY3tNi2If2fstKULLytEH1xPZjw+c+aM57eHVqI9t05oVeFsmGLEFdVMqG2Fv3xe&#10;D2YYOU8UI1IrXuEjd/h28frVvDMlH+lGS8YtgiTKlZ2pcOO9KZPE0Ya3xA214QqctbYt8WDabcIs&#10;6SB7K5NRmk6STltmrKbcOfi66p14EfPXNaf+Y1077pGsMGDzcbVx3YQ1WcxJubXENIKeYJB/QNES&#10;oeDSS6oV8QTtrPgrVSuo1U7Xfkh1m+i6FpTHGqCaLP2jmqeGGB5rAXKcudDk/l9a+mH/aJFgFb4p&#10;MFKkhR59AtaI2kqObsaBoM64EuKezKMNJTrzoOlXh5ReNhDG76zVXcMJA1hZiE+eHQiGg6No073X&#10;DNKTndeRq0Nt25AQWECH2JLjpSX84BGFj+N8NslT6BwFXzZKJxFRQsrzYWOdf8t1i8Kmwhawx+Rk&#10;/+B8AEPKc0gEr6VgayFlNOx2s5QW7UlQR/xF/FDjdZhUIVjpcKzP2H8BjHBH8AW0sds/imyUp/ej&#10;YrCezKaDfJ2PB8U0nQ3SrLgvJmle5Kv1zwAwy8tGMMbVg1D8rLwsf1lnTzPQayZqD3WBuljUNXT3&#10;sgpb4WEKpWgrPLvQQMrQ1DeKQc2k9ETIfp88xx4pBgLO/5GSKIHQ9V49G82OoACroUPQS3gvYNNo&#10;+x2jDmavwu7bjliOkXynQEVFludhWKORj6cjMOy1Z3PtIYpCqgp7jPrt0vcDvjNWbBu4KYvEKH0H&#10;yqtFVEVQZY/qpFeYr1jB6S0IA3xtx6jfL9biFwAAAP//AwBQSwMEFAAGAAgAAAAhADHrS+bcAAAA&#10;CgEAAA8AAABkcnMvZG93bnJldi54bWxMj01PhDAQhu8m/odmTLzttoCLBCkbNfFqsujFW6EjEOkU&#10;aXcX/72zJz3OO0/ej2q/ukmccAmjJw3JVoFA6rwdqdfw/vayKUCEaMiayRNq+MEA+/r6qjKl9Wc6&#10;4KmJvWATCqXRMMQ4l1KGbkBnwtbPSPz79Iszkc+ll3YxZzZ3k0yVyqUzI3HCYGZ8HrD7ao6Ocz+y&#10;Rs3F91NP7vXu0OZz1uY7rW9v1scHEBHX+AfDpT5Xh5o7tf5INohJQ5oUCaMaNrscxAVQRcpKy0p2&#10;D7Ku5P8J9S8AAAD//wMAUEsBAi0AFAAGAAgAAAAhALaDOJL+AAAA4QEAABMAAAAAAAAAAAAAAAAA&#10;AAAAAFtDb250ZW50X1R5cGVzXS54bWxQSwECLQAUAAYACAAAACEAOP0h/9YAAACUAQAACwAAAAAA&#10;AAAAAAAAAAAvAQAAX3JlbHMvLnJlbHNQSwECLQAUAAYACAAAACEAJ2Bjw3YCAAD5BAAADgAAAAAA&#10;AAAAAAAAAAAuAgAAZHJzL2Uyb0RvYy54bWxQSwECLQAUAAYACAAAACEAMetL5twAAAAKAQAADwAA&#10;AAAAAAAAAAAAAADQBAAAZHJzL2Rvd25yZXYueG1sUEsFBgAAAAAEAAQA8wAAANkFAAAAAA==&#10;" fillcolor="black" stroked="f" strokeweight="0">
              <w10:wrap anchorx="page"/>
              <w10:anchorlock/>
            </v:rect>
          </w:pict>
        </mc:Fallback>
      </mc:AlternateContent>
    </w:r>
  </w:p>
  <w:p w14:paraId="208D5C09" w14:textId="77777777" w:rsidR="00F843B9" w:rsidRDefault="00F843B9" w:rsidP="008B6636">
    <w:r>
      <w:tab/>
    </w:r>
    <w:r>
      <w:tab/>
      <w:t>Internal Control Phase</w:t>
    </w:r>
  </w:p>
  <w:p w14:paraId="6A107A51" w14:textId="77777777" w:rsidR="00F843B9" w:rsidRDefault="00F843B9" w:rsidP="008B6636">
    <w:r>
      <w:tab/>
    </w:r>
    <w:r>
      <w:tab/>
      <w:t>330 - Identify Control Objectives</w:t>
    </w:r>
  </w:p>
  <w:p w14:paraId="15316658" w14:textId="77777777" w:rsidR="00F843B9" w:rsidRDefault="00F843B9" w:rsidP="008B6636">
    <w:r>
      <w:rPr>
        <w:noProof/>
      </w:rPr>
      <mc:AlternateContent>
        <mc:Choice Requires="wps">
          <w:drawing>
            <wp:anchor distT="0" distB="0" distL="114300" distR="114300" simplePos="0" relativeHeight="251650560" behindDoc="1" locked="1" layoutInCell="1" allowOverlap="1" wp14:anchorId="4F17C338" wp14:editId="5DA913D5">
              <wp:simplePos x="0" y="0"/>
              <wp:positionH relativeFrom="page">
                <wp:posOffset>1384935</wp:posOffset>
              </wp:positionH>
              <wp:positionV relativeFrom="paragraph">
                <wp:posOffset>-23495</wp:posOffset>
              </wp:positionV>
              <wp:extent cx="5486400" cy="12065"/>
              <wp:effectExtent l="3810" t="0" r="0" b="1905"/>
              <wp:wrapNone/>
              <wp:docPr id="38"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C6D4CE" id="Rectangle 36" o:spid="_x0000_s1026" style="position:absolute;margin-left:109.05pt;margin-top:-1.85pt;width:6in;height:.9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W2JdQIAAPkEAAAOAAAAZHJzL2Uyb0RvYy54bWysVNuO0zAQfUfiHyy/t0m66SVR09VuSxHS&#10;AisWPsC1ncbCsY3tNi2If2fstKULLytEH1xPZjw+c+aM57eHVqI9t05oVeFsmGLEFdVMqG2Fv3xe&#10;D2YYOU8UI1IrXuEjd/h28frVvDMlH+lGS8YtgiTKlZ2pcOO9KZPE0Ya3xA214QqctbYt8WDabcIs&#10;6SB7K5NRmk6STltmrKbcOfi66p14EfPXNaf+Y1077pGsMGDzcbVx3YQ1WcxJubXENIKeYJB/QNES&#10;oeDSS6oV8QTtrPgrVSuo1U7Xfkh1m+i6FpTHGqCaLP2jmqeGGB5rAXKcudDk/l9a+mH/aJFgFb6B&#10;TinSQo8+AWtEbSVHN5NAUGdcCXFP5tGGEp150PSrQ0ovGwjjd9bqruGEAawsxCfPDgTDwVG06d5r&#10;BunJzuvI1aG2bUgILKBDbMnx0hJ+8IjCx3E+m+QpdI6CLxulk3G8gZTnw8Y6/5brFoVNhS1gj8nJ&#10;/sH5AIaU55AIXkvB1kLKaNjtZikt2pOgjvg7ZXfXYVKFYKXDsT5j/wUwwh3BF9DGbv8oslGe3o+K&#10;wXoymw7ydT4eFNN0Nkiz4r6YpHmRr9Y/A8AsLxvBGFcPQvGz8rL8ZZ09zUCvmag91AXqYlHX0N3L&#10;KmyFhymUoq3w7EIDKUNT3ygGNZPSEyH7ffIce6QYCDj/R0qiBELXe/VsNDuCAqyGDkEv4b2ATaPt&#10;d4w6mL0Ku287YjlG8p0CFRVZnodhjUY+no7AsNeezbWHKAqpKuwx6rdL3w/4zlixbeCmLBKj9B0o&#10;rxZRFUGVPaqTXmG+YgWntyAM8LUdo36/WItfAAAA//8DAFBLAwQUAAYACAAAACEAohw6dNwAAAAK&#10;AQAADwAAAGRycy9kb3ducmV2LnhtbEyPPU/DMBCGdyT+g3VIbK2dBIIV4lSAxIrUlIXNiU0SEZ9N&#10;7Lbh33OdYLz3Hr0f9W51MzvZJU4eFWRbAcxi782Eg4L3w+tGAotJo9GzR6vgx0bYNddXta6MP+Pe&#10;nto0MDLBWGkFY0qh4jz2o3U6bn2wSL9Pvzid6FwGbhZ9JnM381yIkjs9ISWMOtiX0fZf7dFR7kfR&#10;iiC/nwd0b3f7rgxFV94rdXuzPj0CS3ZNfzBc6lN1aKhT549oIpsV5JnMCFWwKR6AXQAhc1I6UjIJ&#10;vKn5/wnNLwAAAP//AwBQSwECLQAUAAYACAAAACEAtoM4kv4AAADhAQAAEwAAAAAAAAAAAAAAAAAA&#10;AAAAW0NvbnRlbnRfVHlwZXNdLnhtbFBLAQItABQABgAIAAAAIQA4/SH/1gAAAJQBAAALAAAAAAAA&#10;AAAAAAAAAC8BAABfcmVscy8ucmVsc1BLAQItABQABgAIAAAAIQAqyW2JdQIAAPkEAAAOAAAAAAAA&#10;AAAAAAAAAC4CAABkcnMvZTJvRG9jLnhtbFBLAQItABQABgAIAAAAIQCiHDp03AAAAAoBAAAPAAAA&#10;AAAAAAAAAAAAAM8EAABkcnMvZG93bnJldi54bWxQSwUGAAAAAAQABADzAAAA2AUAAAAA&#10;" fillcolor="black" stroked="f" strokeweight="0">
              <w10:wrap anchorx="page"/>
              <w10:anchorlock/>
            </v:rect>
          </w:pict>
        </mc:Fallback>
      </mc:AlternateContent>
    </w:r>
  </w:p>
  <w:p w14:paraId="23300D8B" w14:textId="77777777" w:rsidR="00F843B9" w:rsidRDefault="00F843B9" w:rsidP="008B6636"/>
  <w:p w14:paraId="05846398" w14:textId="77777777" w:rsidR="00F843B9" w:rsidRDefault="00F843B9" w:rsidP="00CC5F9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D7EDE" w14:textId="77777777" w:rsidR="00F843B9" w:rsidRPr="00D20FD5" w:rsidRDefault="00F843B9" w:rsidP="00666BFE">
    <w:pPr>
      <w:pStyle w:val="Header"/>
      <w:spacing w:before="0"/>
    </w:pPr>
    <w:r w:rsidRPr="00D20FD5">
      <w:t>Internal Control Phase</w:t>
    </w:r>
  </w:p>
  <w:p w14:paraId="7178C624" w14:textId="49F8DFD8" w:rsidR="00F843B9" w:rsidRPr="00D20FD5" w:rsidRDefault="00602497" w:rsidP="00353A9C">
    <w:pPr>
      <w:pStyle w:val="Header"/>
    </w:pPr>
    <w:r>
      <w:fldChar w:fldCharType="begin"/>
    </w:r>
    <w:r>
      <w:instrText xml:space="preserve"> STYLEREF  "Heading 2 FAM"  \* MERGEFORMAT </w:instrText>
    </w:r>
    <w:r>
      <w:fldChar w:fldCharType="separate"/>
    </w:r>
    <w:r>
      <w:rPr>
        <w:noProof/>
      </w:rPr>
      <w:t>330 – Identify Control Objectives</w:t>
    </w:r>
    <w:r>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A7346" w14:textId="77777777" w:rsidR="00F843B9" w:rsidRDefault="00F843B9" w:rsidP="008B6636">
    <w:pPr>
      <w:rPr>
        <w:sz w:val="32"/>
        <w:szCs w:val="32"/>
      </w:rPr>
    </w:pPr>
    <w:r>
      <w:rPr>
        <w:noProof/>
      </w:rPr>
      <mc:AlternateContent>
        <mc:Choice Requires="wps">
          <w:drawing>
            <wp:anchor distT="0" distB="0" distL="114300" distR="114300" simplePos="0" relativeHeight="251645440" behindDoc="1" locked="1" layoutInCell="0" allowOverlap="1" wp14:anchorId="3166B9DF" wp14:editId="4CF55E6D">
              <wp:simplePos x="0" y="0"/>
              <wp:positionH relativeFrom="page">
                <wp:posOffset>1600200</wp:posOffset>
              </wp:positionH>
              <wp:positionV relativeFrom="paragraph">
                <wp:posOffset>0</wp:posOffset>
              </wp:positionV>
              <wp:extent cx="5486400" cy="12065"/>
              <wp:effectExtent l="0" t="0" r="0" b="0"/>
              <wp:wrapNone/>
              <wp:docPr id="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E965AE" id="Rectangle 31" o:spid="_x0000_s1026" style="position:absolute;margin-left:126pt;margin-top:0;width:6in;height:.95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jdAIAAPkEAAAOAAAAZHJzL2Uyb0RvYy54bWysVNuO0zAQfUfiHyy/t0m66SVR09VuSxHS&#10;AisWPsC1ncbCsY3tNi2If2fstKULLytEH1xPZnx85syM57eHVqI9t05oVeFsmGLEFdVMqG2Fv3xe&#10;D2YYOU8UI1IrXuEjd/h28frVvDMlH+lGS8YtAhDlys5UuPHelEniaMNb4obacAXOWtuWeDDtNmGW&#10;dIDeymSUppOk05YZqyl3Dr6ueideRPy65tR/rGvHPZIVBm4+rjaum7Amizkpt5aYRtATDfIPLFoi&#10;FFx6gVoRT9DOir+gWkGtdrr2Q6rbRNe1oDzmANlk6R/ZPDXE8JgLiOPMRSb3/2Dph/2jRYJV+GaC&#10;kSIt1OgTqEbUVnJ0kwWBOuNKiHsyjzak6MyDpl8dUnrZQBi/s1Z3DScMaMX45NmBYDg4ijbde80A&#10;nuy8jlodatsGQFABHWJJjpeS8INHFD6O89kkT6FyFHzZKJ2MA6OElOfDxjr/lusWhU2FLXCP4GT/&#10;4Hwfeg6J5LUUbC2kjIbdbpbSoj0J3RF/J3R3HSZVCFY6HOsR+y/AEe4IvsA2VvtHkY3y9H5UDNaT&#10;2XSQr/PxoJims0GaFffFJM2LfLX+GQhmedkIxrh6EIqfOy/LX1bZ0wz0PRN7D3VBupjUNXX3sgxb&#10;4WEKpWgrPLvIQMpQ1DeKQc6k9ETIfp885x6rAQKc/6MksQVC1fvu2Wh2hA6wGioEtYT3AjaNtt8x&#10;6mD2Kuy+7YjlGMl3CrqoyPI8DGs08vF0BIa99myuPURRgKqwx6jfLn0/4DtjxbaBm7IojNJ30Hm1&#10;iF0RurJnBbyDAfMVMzi9BWGAr+0Y9fvFWvwC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r/vgY3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78E52575" w14:textId="77777777" w:rsidR="00F843B9" w:rsidRDefault="00F843B9" w:rsidP="008B6636">
    <w:r>
      <w:tab/>
    </w:r>
    <w:r>
      <w:tab/>
      <w:t>Internal Control Phase</w:t>
    </w:r>
  </w:p>
  <w:p w14:paraId="09DB0254" w14:textId="77777777" w:rsidR="00F843B9" w:rsidRDefault="00F843B9" w:rsidP="008B6636">
    <w:r>
      <w:tab/>
    </w:r>
  </w:p>
  <w:p w14:paraId="31F4F7B4" w14:textId="77777777" w:rsidR="00F843B9" w:rsidRDefault="00F843B9" w:rsidP="008B6636">
    <w:pPr>
      <w:rPr>
        <w:sz w:val="32"/>
        <w:szCs w:val="32"/>
      </w:rPr>
    </w:pPr>
    <w:r>
      <w:rPr>
        <w:noProof/>
      </w:rPr>
      <mc:AlternateContent>
        <mc:Choice Requires="wps">
          <w:drawing>
            <wp:anchor distT="0" distB="0" distL="114300" distR="114300" simplePos="0" relativeHeight="251646464" behindDoc="1" locked="1" layoutInCell="0" allowOverlap="1" wp14:anchorId="7C346132" wp14:editId="0081C70F">
              <wp:simplePos x="0" y="0"/>
              <wp:positionH relativeFrom="page">
                <wp:posOffset>1600200</wp:posOffset>
              </wp:positionH>
              <wp:positionV relativeFrom="paragraph">
                <wp:posOffset>0</wp:posOffset>
              </wp:positionV>
              <wp:extent cx="5486400" cy="12065"/>
              <wp:effectExtent l="0" t="0" r="0" b="0"/>
              <wp:wrapNone/>
              <wp:docPr id="3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511E2F" id="Rectangle 32" o:spid="_x0000_s1026" style="position:absolute;margin-left:126pt;margin-top:0;width:6in;height:.95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hiTdQIAAPkEAAAOAAAAZHJzL2Uyb0RvYy54bWysVG1v0zAQ/o7Ef7D8vc3L0q6Jlk7bShHS&#10;gInBD3BtJ7FwbGO7TQfiv3N22tLBlwnRD64vdz4/99xzvrre9xLtuHVCqxpn0xQjrqhmQrU1/vJ5&#10;PVlg5DxRjEiteI2fuMPXy9evrgZT8Vx3WjJuESRRrhpMjTvvTZUkjna8J26qDVfgbLTtiQfTtgmz&#10;ZIDsvUzyNJ0ng7bMWE25c/B1NTrxMuZvGk79x6Zx3CNZY8Dm42rjuglrsrwiVWuJ6QQ9wCD/gKIn&#10;QsGlp1Qr4gnaWvFXql5Qq51u/JTqPtFNIyiPNUA1WfpHNY8dMTzWAuQ4c6LJ/b+09MPuwSLBanwx&#10;w0iRHnr0CVgjqpUcXeSBoMG4CuIezYMNJTpzr+lXh5S+6yCM31irh44TBrCyEJ88OxAMB0fRZniv&#10;GaQnW68jV/vG9iEhsID2sSVPp5bwvUcUPs6KxbxIoXMUfFmezmfxBlIdDxvr/FuuexQ2NbaAPSYn&#10;u3vnAxhSHUMieC0FWwspo2HbzZ20aEeCOuLvkN2dh0kVgpUOx8aM4xfACHcEX0Abu/2jzPIivc3L&#10;yXq+uJwU62I2KS/TxSTNyttynhZlsVr/DACzouoEY1zdC8WPysuKl3X2MAOjZqL20BCoi0WdQ3cv&#10;q7AXHqZQir7GixMNpApNfaMY1EwqT4Qc98lz7JFiIOD4HymJEghdH9Wz0ewJFGA1dAh6Ce8FbDpt&#10;v2M0wOzV2H3bEssxku8UqKjMiiIMazSK2WUOhj33bM49RFFIVWOP0bi98+OAb40VbQc3ZZEYpW9A&#10;eY2IqgiqHFEd9ArzFSs4vAVhgM/tGPX7xVr+AgAA//8DAFBLAwQUAAYACAAAACEAZHfjLNsAAAAH&#10;AQAADwAAAGRycy9kb3ducmV2LnhtbEyPQU/DMAyF70j7D5EncWNpu60apekESFwnrePCLW1MW9E4&#10;ocm28u/xTnCxnvWs9z6X+9mO4oJTGBwpSFcJCKTWmYE6Be+nt4cdiBA1GT06QgU/GGBfLe5KXRh3&#10;pSNe6tgJDqFQaAV9jL6QMrQ9Wh1WziOx9+kmqyOvUyfNpK8cbkeZJUkurR6IG3rt8bXH9qs+W+79&#10;WNeJ332/dGQPm2OT+3WTb5W6X87PTyAizvHvGG74jA4VMzXuTCaIUUG2zfiXqIDnzU7TnFXD6hFk&#10;Vcr//NUvAAAA//8DAFBLAQItABQABgAIAAAAIQC2gziS/gAAAOEBAAATAAAAAAAAAAAAAAAAAAAA&#10;AABbQ29udGVudF9UeXBlc10ueG1sUEsBAi0AFAAGAAgAAAAhADj9If/WAAAAlAEAAAsAAAAAAAAA&#10;AAAAAAAALwEAAF9yZWxzLy5yZWxzUEsBAi0AFAAGAAgAAAAhAKOeGJN1AgAA+QQAAA4AAAAAAAAA&#10;AAAAAAAALgIAAGRycy9lMm9Eb2MueG1sUEsBAi0AFAAGAAgAAAAhAGR34yzbAAAABwEAAA8AAAAA&#10;AAAAAAAAAAAAzwQAAGRycy9kb3ducmV2LnhtbFBLBQYAAAAABAAEAPMAAADXBQAAAAA=&#10;" o:allowincell="f" fillcolor="black" stroked="f" strokeweight="0">
              <w10:wrap anchorx="page"/>
              <w10:anchorlock/>
            </v:rect>
          </w:pict>
        </mc:Fallback>
      </mc:AlternateContent>
    </w:r>
  </w:p>
  <w:p w14:paraId="1DCF8E28" w14:textId="77777777" w:rsidR="00F843B9" w:rsidRDefault="00F843B9" w:rsidP="008B6636">
    <w:r>
      <w:tab/>
    </w:r>
    <w:r>
      <w:tab/>
      <w:t>330 -</w:t>
    </w:r>
    <w:r>
      <w:tab/>
      <w:t>IDENTIFY CONTROL OBJECTIVES</w:t>
    </w:r>
  </w:p>
  <w:p w14:paraId="3E8D5F3C" w14:textId="77777777" w:rsidR="00F843B9" w:rsidRDefault="00F843B9" w:rsidP="008B6636"/>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B6053" w14:textId="77777777" w:rsidR="00F843B9" w:rsidRPr="00D20FD5" w:rsidRDefault="00F843B9" w:rsidP="00666BFE">
    <w:pPr>
      <w:pStyle w:val="Header"/>
      <w:spacing w:before="0"/>
    </w:pPr>
    <w:r w:rsidRPr="00D20FD5">
      <w:t>Internal Control Phase</w:t>
    </w:r>
  </w:p>
  <w:p w14:paraId="4CBB19BB" w14:textId="757CFB5F" w:rsidR="00F843B9" w:rsidRPr="00DB7D0A" w:rsidRDefault="00602497" w:rsidP="00666BFE">
    <w:pPr>
      <w:pStyle w:val="Header"/>
      <w:spacing w:before="0"/>
    </w:pPr>
    <w:r>
      <w:fldChar w:fldCharType="begin"/>
    </w:r>
    <w:r>
      <w:instrText xml:space="preserve"> STYLEREF  "Heading 2 FAM"  \* MERGEFORMAT </w:instrText>
    </w:r>
    <w:r>
      <w:fldChar w:fldCharType="separate"/>
    </w:r>
    <w:r w:rsidR="00C67FBA">
      <w:rPr>
        <w:noProof/>
      </w:rPr>
      <w:t>340 – Identify and Understand Control Activities</w:t>
    </w:r>
    <w:r>
      <w:rPr>
        <w:noProof/>
      </w:rP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039FF" w14:textId="251568A8" w:rsidR="00F843B9" w:rsidRDefault="00F843B9" w:rsidP="00666BFE">
    <w:pPr>
      <w:pStyle w:val="Header"/>
      <w:spacing w:before="0"/>
    </w:pPr>
    <w:r w:rsidRPr="003A2ED3">
      <w:t>Internal Control Phase</w:t>
    </w:r>
  </w:p>
  <w:p w14:paraId="415CB34C" w14:textId="73630FE6" w:rsidR="00F843B9" w:rsidRPr="003A2ED3" w:rsidRDefault="00F843B9" w:rsidP="00666BFE">
    <w:pPr>
      <w:pStyle w:val="Header"/>
      <w:spacing w:before="0"/>
    </w:pPr>
    <w:r>
      <w:t>350 – Determine the Nature, Extent, and Timing of Tests of Controls and Compliance with FFMIA</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A52B0" w14:textId="77777777" w:rsidR="00F843B9" w:rsidRPr="00D20FD5" w:rsidRDefault="00F843B9" w:rsidP="00666BFE">
    <w:pPr>
      <w:pStyle w:val="Header"/>
      <w:spacing w:before="0"/>
    </w:pPr>
    <w:r w:rsidRPr="00D20FD5">
      <w:t>Internal Control Phase</w:t>
    </w:r>
  </w:p>
  <w:p w14:paraId="4492EB6D" w14:textId="4B64F42A" w:rsidR="00F843B9" w:rsidRPr="00D20FD5" w:rsidRDefault="00602497" w:rsidP="00CC5F9D">
    <w:pPr>
      <w:pStyle w:val="Header"/>
    </w:pPr>
    <w:r>
      <w:fldChar w:fldCharType="begin"/>
    </w:r>
    <w:r>
      <w:instrText xml:space="preserve"> STYLEREF  "H</w:instrText>
    </w:r>
    <w:r>
      <w:instrText xml:space="preserve">eading 2 FAM"  \* MERGEFORMAT </w:instrText>
    </w:r>
    <w:r>
      <w:fldChar w:fldCharType="separate"/>
    </w:r>
    <w:r w:rsidR="00C47D20">
      <w:rPr>
        <w:noProof/>
      </w:rPr>
      <w:t>360 – Perform Tests of Controls and Compliance with FFMIA</w:t>
    </w:r>
    <w:r>
      <w:rPr>
        <w:noProof/>
      </w:rP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E0A50" w14:textId="77777777" w:rsidR="00F843B9" w:rsidRPr="00D20FD5" w:rsidRDefault="00F843B9" w:rsidP="00666BFE">
    <w:pPr>
      <w:pStyle w:val="Header"/>
      <w:spacing w:before="0"/>
    </w:pPr>
    <w:r w:rsidRPr="00D20FD5">
      <w:t>Internal Control Phase</w:t>
    </w:r>
  </w:p>
  <w:p w14:paraId="7EAE8782" w14:textId="052DF836" w:rsidR="00F843B9" w:rsidRPr="00D20FD5" w:rsidRDefault="00602497" w:rsidP="00CC5F9D">
    <w:pPr>
      <w:pStyle w:val="Header"/>
    </w:pPr>
    <w:r>
      <w:fldChar w:fldCharType="begin"/>
    </w:r>
    <w:r>
      <w:instrText xml:space="preserve"> STYLEREF  "Heading 2 FAM"  \* MERGEFORMAT </w:instrText>
    </w:r>
    <w:r>
      <w:fldChar w:fldCharType="separate"/>
    </w:r>
    <w:r w:rsidR="00C47D20">
      <w:rPr>
        <w:noProof/>
      </w:rPr>
      <w:t>370 – Assess Internal Control on a Preliminary Basis</w:t>
    </w:r>
    <w:r>
      <w:rPr>
        <w:noProof/>
      </w:rP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46B21" w14:textId="77777777" w:rsidR="00F843B9" w:rsidRPr="00D20FD5" w:rsidRDefault="00F843B9" w:rsidP="00666BFE">
    <w:pPr>
      <w:pStyle w:val="Header"/>
      <w:spacing w:before="0"/>
    </w:pPr>
    <w:r w:rsidRPr="00D20FD5">
      <w:t>Internal Control Phase</w:t>
    </w:r>
  </w:p>
  <w:p w14:paraId="42DECDD2" w14:textId="2DB93C0C" w:rsidR="00F843B9" w:rsidRPr="00D20FD5" w:rsidRDefault="00602497" w:rsidP="00CC5F9D">
    <w:pPr>
      <w:pStyle w:val="Header"/>
    </w:pPr>
    <w:r>
      <w:fldChar w:fldCharType="begin"/>
    </w:r>
    <w:r>
      <w:instrText xml:space="preserve"> STYLEREF  "Heading 2 FAM"  \* MERGEFORMAT </w:instrText>
    </w:r>
    <w:r>
      <w:fldChar w:fldCharType="separate"/>
    </w:r>
    <w:r w:rsidR="00C67FBA">
      <w:rPr>
        <w:noProof/>
      </w:rPr>
      <w:t>380 – Other Considerations</w:t>
    </w:r>
    <w:r>
      <w:rPr>
        <w:noProof/>
      </w:rP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05352" w14:textId="77777777" w:rsidR="00F843B9" w:rsidRPr="00D20FD5" w:rsidRDefault="00F843B9" w:rsidP="00666BFE">
    <w:pPr>
      <w:pStyle w:val="Header"/>
      <w:spacing w:before="0"/>
    </w:pPr>
    <w:r w:rsidRPr="00D20FD5">
      <w:t>Internal Control Phase</w:t>
    </w:r>
  </w:p>
  <w:p w14:paraId="37693AF8" w14:textId="655CF7DB" w:rsidR="00F843B9" w:rsidRPr="00D20FD5" w:rsidRDefault="00602497" w:rsidP="00CC5F9D">
    <w:pPr>
      <w:pStyle w:val="Header"/>
    </w:pPr>
    <w:r>
      <w:fldChar w:fldCharType="begin"/>
    </w:r>
    <w:r>
      <w:instrText xml:space="preserve"> STYLEREF  "Heading 2 FAM"  \* MERGEFORMAT </w:instrText>
    </w:r>
    <w:r>
      <w:fldChar w:fldCharType="separate"/>
    </w:r>
    <w:r w:rsidR="00C47D20">
      <w:rPr>
        <w:noProof/>
      </w:rPr>
      <w:t>390 – Documentation</w:t>
    </w:r>
    <w:r>
      <w:rPr>
        <w:noProof/>
      </w:rPr>
      <w:fldChar w:fldCharType="end"/>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12F06" w14:textId="77777777" w:rsidR="00F843B9" w:rsidRPr="00D20FD5" w:rsidRDefault="00F843B9" w:rsidP="00666BFE">
    <w:pPr>
      <w:pStyle w:val="Header"/>
      <w:spacing w:before="0"/>
    </w:pPr>
    <w:r w:rsidRPr="00D20FD5">
      <w:t>Internal Control Phase</w:t>
    </w:r>
  </w:p>
  <w:p w14:paraId="69C367E7" w14:textId="35B433EC" w:rsidR="00F843B9" w:rsidRDefault="00602497" w:rsidP="00284CB0">
    <w:pPr>
      <w:pStyle w:val="Header"/>
    </w:pPr>
    <w:r>
      <w:fldChar w:fldCharType="begin"/>
    </w:r>
    <w:r>
      <w:instrText xml:space="preserve"> STYLEREF  "Heading 2 FAM"  \* MERGEFORMAT </w:instrText>
    </w:r>
    <w:r>
      <w:fldChar w:fldCharType="separate"/>
    </w:r>
    <w:r>
      <w:rPr>
        <w:noProof/>
      </w:rPr>
      <w:t>395 A – Typical Relationships of Classes of Transactions to Line Items or Accounts</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AD1AE" w14:textId="77777777" w:rsidR="00F843B9" w:rsidRPr="00CC5F9D" w:rsidRDefault="00F843B9" w:rsidP="00CC5F9D">
    <w:r w:rsidRPr="00CC5F9D">
      <w:rPr>
        <w:noProof/>
      </w:rPr>
      <mc:AlternateContent>
        <mc:Choice Requires="wps">
          <w:drawing>
            <wp:anchor distT="0" distB="0" distL="114300" distR="114300" simplePos="0" relativeHeight="251632128" behindDoc="0" locked="0" layoutInCell="1" allowOverlap="1" wp14:anchorId="466FCCFC" wp14:editId="75D5F3A6">
              <wp:simplePos x="0" y="0"/>
              <wp:positionH relativeFrom="column">
                <wp:posOffset>81887</wp:posOffset>
              </wp:positionH>
              <wp:positionV relativeFrom="paragraph">
                <wp:posOffset>238836</wp:posOffset>
              </wp:positionV>
              <wp:extent cx="5876498" cy="0"/>
              <wp:effectExtent l="0" t="0" r="29210" b="19050"/>
              <wp:wrapNone/>
              <wp:docPr id="5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649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FF46A9" id="Line 18" o:spid="_x0000_s1026" style="position:absolute;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5pt,18.8pt" to="469.15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yLEFQIAACoEAAAOAAAAZHJzL2Uyb0RvYy54bWysU8GO2jAQvVfqP1i+QxI2sBARVlUCvWy7&#10;SLv9AGM7xKpjW7YhoKr/3rEhiG0vVdUcnLFn5vnNzPPy6dRJdOTWCa1KnI1TjLiimgm1L/G3t81o&#10;jpHzRDEiteIlPnOHn1YfPyx7U/CJbrVk3CIAUa7oTYlb702RJI62vCNurA1X4Gy07YiHrd0nzJIe&#10;0DuZTNJ0lvTaMmM15c7BaX1x4lXEbxpO/UvTOO6RLDFw83G1cd2FNVktSbG3xLSCXmmQf2DREaHg&#10;0htUTTxBByv+gOoEtdrpxo+p7hLdNILyWANUk6W/VfPaEsNjLdAcZ25tcv8Pln49bi0SrMTTB4wU&#10;6WBGz0JxlM1Db3rjCgip1NaG6uhJvZpnTb87pHTVErXnkePb2UBeFjKSdylh4wzcsOu/aAYx5OB1&#10;bNSpsV2AhBagU5zH+TYPfvKIwuF0/jjLF6AgOvgSUgyJxjr/mesOBaPEEkhHYHJ8dj4QIcUQEu5R&#10;eiOkjOOWCvUlXkwn05jgtBQsOEOYs/tdJS06kiCY+MWqwHMfZvVBsQjWcsLWV9sTIS82XC5VwINS&#10;gM7VuijixyJdrOfreT7KJ7P1KE/revRpU+Wj2SZ7nNYPdVXV2c9ALcuLVjDGVWA3qDPL/27613dy&#10;0dVNn7c2JO/RY7+A7PCPpOMsw/guQthpdt7aYcYgyBh8fTxB8fd7sO+f+OoXAAAA//8DAFBLAwQU&#10;AAYACAAAACEAHspT1NwAAAAIAQAADwAAAGRycy9kb3ducmV2LnhtbEyPwU7DMBBE70j8g7VIXCrq&#10;kEilDXEqBOTGhQLiuo2XJCJep7HbBr6eRT3AcXZGs2+K9eR6daAxdJ4NXM8TUMS1tx03Bl5fqqsl&#10;qBCRLfaeycAXBViX52cF5tYf+ZkOm9goKeGQo4E2xiHXOtQtOQxzPxCL9+FHh1Hk2Gg74lHKXa/T&#10;JFlohx3LhxYHum+p/tzsnYFQvdGu+p7Vs+Q9azylu4enRzTm8mK6uwUVaYp/YfjFF3QohWnr92yD&#10;6kWnK0kayG4WoMRfZcsM1PZ00GWh/w8ofwAAAP//AwBQSwECLQAUAAYACAAAACEAtoM4kv4AAADh&#10;AQAAEwAAAAAAAAAAAAAAAAAAAAAAW0NvbnRlbnRfVHlwZXNdLnhtbFBLAQItABQABgAIAAAAIQA4&#10;/SH/1gAAAJQBAAALAAAAAAAAAAAAAAAAAC8BAABfcmVscy8ucmVsc1BLAQItABQABgAIAAAAIQB5&#10;EyLEFQIAACoEAAAOAAAAAAAAAAAAAAAAAC4CAABkcnMvZTJvRG9jLnhtbFBLAQItABQABgAIAAAA&#10;IQAeylPU3AAAAAgBAAAPAAAAAAAAAAAAAAAAAG8EAABkcnMvZG93bnJldi54bWxQSwUGAAAAAAQA&#10;BADzAAAAeAUAAAAA&#10;"/>
          </w:pict>
        </mc:Fallback>
      </mc:AlternateConten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06DEF" w14:textId="77777777" w:rsidR="00F843B9" w:rsidRPr="00D20FD5" w:rsidRDefault="00F843B9" w:rsidP="00666BFE">
    <w:pPr>
      <w:pStyle w:val="Header"/>
      <w:spacing w:before="0"/>
    </w:pPr>
    <w:r w:rsidRPr="00D20FD5">
      <w:t>Internal Control Phase</w:t>
    </w:r>
  </w:p>
  <w:p w14:paraId="6E560F96" w14:textId="19E83221" w:rsidR="00F843B9" w:rsidRPr="00FE6E71" w:rsidRDefault="00602497" w:rsidP="00CC5F9D">
    <w:pPr>
      <w:pStyle w:val="Header"/>
    </w:pPr>
    <w:r>
      <w:fldChar w:fldCharType="begin"/>
    </w:r>
    <w:r>
      <w:instrText xml:space="preserve"> STYLEREF  "Heading 2 FAM"  \* MERGEFORMAT </w:instrText>
    </w:r>
    <w:r>
      <w:fldChar w:fldCharType="separate"/>
    </w:r>
    <w:r>
      <w:rPr>
        <w:noProof/>
      </w:rPr>
      <w:t>395 B – Assertions, Potential Misstatements, and Control Objectives</w:t>
    </w:r>
    <w:r>
      <w:rPr>
        <w:noProof/>
      </w:rPr>
      <w:fldChar w:fldCharType="end"/>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73DF5" w14:textId="77777777" w:rsidR="00F843B9" w:rsidRDefault="00F843B9" w:rsidP="008B6636">
    <w:r>
      <w:rPr>
        <w:noProof/>
      </w:rPr>
      <mc:AlternateContent>
        <mc:Choice Requires="wps">
          <w:drawing>
            <wp:anchor distT="0" distB="0" distL="114300" distR="114300" simplePos="0" relativeHeight="251655680" behindDoc="1" locked="1" layoutInCell="1" allowOverlap="1" wp14:anchorId="7A58A975" wp14:editId="3669E265">
              <wp:simplePos x="0" y="0"/>
              <wp:positionH relativeFrom="page">
                <wp:posOffset>1384935</wp:posOffset>
              </wp:positionH>
              <wp:positionV relativeFrom="paragraph">
                <wp:posOffset>-35560</wp:posOffset>
              </wp:positionV>
              <wp:extent cx="5486400" cy="12065"/>
              <wp:effectExtent l="3810" t="2540" r="0" b="4445"/>
              <wp:wrapNone/>
              <wp:docPr id="33"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DCC9E2" id="Rectangle 47" o:spid="_x0000_s1026" style="position:absolute;margin-left:109.05pt;margin-top:-2.8pt;width:6in;height:.9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SxTdQIAAPkEAAAOAAAAZHJzL2Uyb0RvYy54bWysVNuO2yAQfa/Uf0C8Z21nycVWnNVemqrS&#10;tl112w8ggGNUDBRInG3Vf++AkzTbvqyq5oEwnmE4c+YMi6t9p9BOOC+NrnFxkWMkNDNc6k2Nv3xe&#10;jeYY+UA1p8poUeMn4fHV8vWrRW8rMTatUVw4BEm0r3pb4zYEW2WZZ63oqL8wVmhwNsZ1NIDpNhl3&#10;tIfsncrGeT7NeuO4dYYJ7+Hr3eDEy5S/aQQLH5vGi4BUjQFbSKtL6zqu2XJBq42jtpXsAIP+A4qO&#10;Sg2XnlLd0UDR1sm/UnWSOeNNEy6Y6TLTNJKJVANUU+R/VPPYUitSLUCOtyea/P9Lyz7sHhySvMaX&#10;lxhp2kGPPgFrVG+UQGQWCeqtryDu0T64WKK394Z99Uib2xbCxLVzpm8F5QCriPHZswPR8HAUrfv3&#10;hkN6ug0mcbVvXBcTAgton1rydGqJ2AfE4OOEzKckh84x8BXjfDpJN9DqeNg6H94K06G4qbED7Ck5&#10;3d37EMHQ6hiSwBsl+UoqlQy3Wd8qh3Y0qiP9Dtn9eZjSMVibeGzIOHwBjHBH9EW0qds/ymJM8ptx&#10;OVpN57MRWZHJqJzl81FelDflNCcluVv9jAALUrWSc6HvpRZH5RXkZZ09zMCgmaQ91EfqUlHn0P3L&#10;KuxkgClUsqvx/EQDrWJT32gONdMqUKmGffYce6IYCDj+J0qSBGLXB/WsDX8CBTgDHYJewnsBm9a4&#10;7xj1MHs19t+21AmM1DsNKioLQuKwJoNMZmMw3Llnfe6hmkGqGgeMhu1tGAZ8a53ctHBTkYjR5hqU&#10;18ikiqjKAdVBrzBfqYLDWxAH+NxOUb9frOUvAAAA//8DAFBLAwQUAAYACAAAACEAMetL5twAAAAK&#10;AQAADwAAAGRycy9kb3ducmV2LnhtbEyPTU+EMBCG7yb+h2ZMvO22gIsEKRs18Wqy6MVboSMQ6RRp&#10;dxf/vbMnPc47T96Par+6SZxwCaMnDclWgUDqvB2p1/D+9rIpQIRoyJrJE2r4wQD7+vqqMqX1Zzrg&#10;qYm9YBMKpdEwxDiXUoZuQGfC1s9I/Pv0izORz6WXdjFnNneTTJXKpTMjccJgZnwesPtqjo5zP7JG&#10;zcX3U0/u9e7Q5nPW5jutb2/WxwcQEdf4B8OlPleHmju1/kg2iElDmhQJoxo2uxzEBVBFykrLSnYP&#10;sq7k/wn1LwAAAP//AwBQSwECLQAUAAYACAAAACEAtoM4kv4AAADhAQAAEwAAAAAAAAAAAAAAAAAA&#10;AAAAW0NvbnRlbnRfVHlwZXNdLnhtbFBLAQItABQABgAIAAAAIQA4/SH/1gAAAJQBAAALAAAAAAAA&#10;AAAAAAAAAC8BAABfcmVscy8ucmVsc1BLAQItABQABgAIAAAAIQCNsSxTdQIAAPkEAAAOAAAAAAAA&#10;AAAAAAAAAC4CAABkcnMvZTJvRG9jLnhtbFBLAQItABQABgAIAAAAIQAx60vm3AAAAAoBAAAPAAAA&#10;AAAAAAAAAAAAAM8EAABkcnMvZG93bnJldi54bWxQSwUGAAAAAAQABADzAAAA2AUAAAAA&#10;" fillcolor="black" stroked="f" strokeweight="0">
              <w10:wrap anchorx="page"/>
              <w10:anchorlock/>
            </v:rect>
          </w:pict>
        </mc:Fallback>
      </mc:AlternateContent>
    </w:r>
  </w:p>
  <w:p w14:paraId="6450C6BB" w14:textId="77777777" w:rsidR="00F843B9" w:rsidRDefault="00F843B9" w:rsidP="008B6636">
    <w:r>
      <w:tab/>
    </w:r>
    <w:r>
      <w:tab/>
      <w:t>Internal Control Phase</w:t>
    </w:r>
  </w:p>
  <w:p w14:paraId="09E4CEE6" w14:textId="77777777" w:rsidR="00F843B9" w:rsidRDefault="00F843B9">
    <w:pPr>
      <w:pStyle w:val="Heading2"/>
    </w:pPr>
    <w:r>
      <w:tab/>
    </w:r>
    <w:r>
      <w:tab/>
      <w:t>395 C - Typical Control Activities</w:t>
    </w:r>
  </w:p>
  <w:p w14:paraId="29E214AA" w14:textId="77777777" w:rsidR="00F843B9" w:rsidRDefault="00F843B9" w:rsidP="008B6636">
    <w:r>
      <w:rPr>
        <w:noProof/>
      </w:rPr>
      <mc:AlternateContent>
        <mc:Choice Requires="wps">
          <w:drawing>
            <wp:anchor distT="0" distB="0" distL="114300" distR="114300" simplePos="0" relativeHeight="251656704" behindDoc="1" locked="1" layoutInCell="1" allowOverlap="1" wp14:anchorId="171EFDF5" wp14:editId="1B015B80">
              <wp:simplePos x="0" y="0"/>
              <wp:positionH relativeFrom="page">
                <wp:posOffset>1384935</wp:posOffset>
              </wp:positionH>
              <wp:positionV relativeFrom="paragraph">
                <wp:posOffset>-23495</wp:posOffset>
              </wp:positionV>
              <wp:extent cx="5486400" cy="12065"/>
              <wp:effectExtent l="3810" t="0" r="0" b="1905"/>
              <wp:wrapNone/>
              <wp:docPr id="32"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71CBDE" id="Rectangle 48" o:spid="_x0000_s1026" style="position:absolute;margin-left:109.05pt;margin-top:-1.85pt;width:6in;height:.9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PVEdAIAAPkEAAAOAAAAZHJzL2Uyb0RvYy54bWysVNtuGyEQfa/Uf0C8O3spdryrrKNc6qpS&#10;2kZN+wEYWC8qCxSw10nVf+/A2q7TvkRV/YCZnWE4c+YMF5e7XqGtcF4a3eDiLMdIaGa41OsGf/2y&#10;nMwx8oFqTpXRosGPwuPLxetXF4OtRWk6o7hwCJJoXw+2wV0Its4yzzrRU39mrNDgbI3raQDTrTPu&#10;6ADZe5WVeT7LBuO4dYYJ7+Hr7ejEi5S/bQULn9rWi4BUgwFbSKtL6yqu2eKC1mtHbSfZHgb9BxQ9&#10;lRouPaa6pYGijZN/peolc8abNpwx02embSUTqQaopsj/qOaho1akWoAcb480+f+Xln3c3jskeYPf&#10;lBhp2kOPPgNrVK+VQGQeCRqsryHuwd67WKK3d4Z980ibmw7CxJVzZugE5QCriPHZswPR8HAUrYYP&#10;hkN6ugkmcbVrXR8TAgtol1ryeGyJ2AXE4OOUzGckh84x8BVlPpumG2h9OGydD++E6VHcNNgB9pSc&#10;bu98iGBofQhJ4I2SfCmVSoZbr26UQ1sa1ZF+++z+NEzpGKxNPDZmHL8ARrgj+iLa1O0fVVGS/Lqs&#10;JsvZ/HxClmQ6qc7z+SQvqutqlpOK3C5/RoAFqTvJudB3UouD8gryss7uZ2DUTNIeGiJ1qahT6P5l&#10;FfYywBQq2Td4fqSB1rGpbzWHmmkdqFTjPnuOPVEMBBz+EyVJArHro3pWhj+CApyBDkEv4b2ATWfc&#10;E0YDzF6D/fcNdQIj9V6DiqqCkDisySDT8xIMd+pZnXqoZpCqwQGjcXsTxgHfWCfXHdxUJGK0uQLl&#10;tTKpIqpyRLXXK8xXqmD/FsQBPrVT1O8Xa/ELAAD//wMAUEsDBBQABgAIAAAAIQCiHDp03AAAAAoB&#10;AAAPAAAAZHJzL2Rvd25yZXYueG1sTI89T8MwEIZ3JP6DdUhsrZ0EghXiVIDEitSUhc2JTRIRn03s&#10;tuHfc51gvPcevR/1bnUzO9klTh4VZFsBzGLvzYSDgvfD60YCi0mj0bNHq+DHRtg111e1row/496e&#10;2jQwMsFYaQVjSqHiPPajdTpufbBIv0+/OJ3oXAZuFn0mczfzXIiSOz0hJYw62JfR9l/t0VHuR9GK&#10;IL+fB3Rvd/uuDEVX3it1e7M+PQJLdk1/MFzqU3VoqFPnj2gimxXkmcwIVbApHoBdACFzUjpSMgm8&#10;qfn/Cc0vAAAA//8DAFBLAQItABQABgAIAAAAIQC2gziS/gAAAOEBAAATAAAAAAAAAAAAAAAAAAAA&#10;AABbQ29udGVudF9UeXBlc10ueG1sUEsBAi0AFAAGAAgAAAAhADj9If/WAAAAlAEAAAsAAAAAAAAA&#10;AAAAAAAALwEAAF9yZWxzLy5yZWxzUEsBAi0AFAAGAAgAAAAhALYk9UR0AgAA+QQAAA4AAAAAAAAA&#10;AAAAAAAALgIAAGRycy9lMm9Eb2MueG1sUEsBAi0AFAAGAAgAAAAhAKIcOnTcAAAACgEAAA8AAAAA&#10;AAAAAAAAAAAAzgQAAGRycy9kb3ducmV2LnhtbFBLBQYAAAAABAAEAPMAAADXBQAAAAA=&#10;" fillcolor="black" stroked="f" strokeweight="0">
              <w10:wrap anchorx="page"/>
              <w10:anchorlock/>
            </v:rect>
          </w:pict>
        </mc:Fallback>
      </mc:AlternateContent>
    </w:r>
  </w:p>
  <w:p w14:paraId="613F7FB1" w14:textId="77777777" w:rsidR="00F843B9" w:rsidRDefault="00F843B9" w:rsidP="008B6636"/>
  <w:p w14:paraId="5C12A382" w14:textId="77777777" w:rsidR="00F843B9" w:rsidRDefault="00F843B9" w:rsidP="008B6636"/>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DC8E7" w14:textId="77777777" w:rsidR="00F843B9" w:rsidRPr="00D20FD5" w:rsidRDefault="00F843B9" w:rsidP="00666BFE">
    <w:pPr>
      <w:pStyle w:val="Header"/>
      <w:spacing w:before="0"/>
    </w:pPr>
    <w:r w:rsidRPr="00D20FD5">
      <w:t>Internal Control Phase</w:t>
    </w:r>
  </w:p>
  <w:p w14:paraId="707142E5" w14:textId="77777777" w:rsidR="00F843B9" w:rsidRPr="00FE6E71" w:rsidRDefault="00F843B9" w:rsidP="00CC5F9D">
    <w:pPr>
      <w:pStyle w:val="Header"/>
    </w:pPr>
    <w:r w:rsidRPr="00FE6E71">
      <w:t>395 C - Typical Control Activities</w:t>
    </w:r>
    <w:r w:rsidRPr="00FE6E71" w:rsidDel="00FE6E71">
      <w:t xml:space="preserve"> </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32CC5" w14:textId="77777777" w:rsidR="00F843B9" w:rsidRDefault="00F843B9" w:rsidP="008B6636">
    <w:pPr>
      <w:rPr>
        <w:sz w:val="32"/>
        <w:szCs w:val="32"/>
      </w:rPr>
    </w:pPr>
    <w:r>
      <w:rPr>
        <w:noProof/>
      </w:rPr>
      <mc:AlternateContent>
        <mc:Choice Requires="wps">
          <w:drawing>
            <wp:anchor distT="0" distB="0" distL="114300" distR="114300" simplePos="0" relativeHeight="251651584" behindDoc="1" locked="1" layoutInCell="0" allowOverlap="1" wp14:anchorId="59B27AB2" wp14:editId="2F19F79A">
              <wp:simplePos x="0" y="0"/>
              <wp:positionH relativeFrom="page">
                <wp:posOffset>1600200</wp:posOffset>
              </wp:positionH>
              <wp:positionV relativeFrom="paragraph">
                <wp:posOffset>0</wp:posOffset>
              </wp:positionV>
              <wp:extent cx="5486400" cy="12065"/>
              <wp:effectExtent l="0" t="0" r="0" b="0"/>
              <wp:wrapNone/>
              <wp:docPr id="30"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8C3870" id="Rectangle 43" o:spid="_x0000_s1026" style="position:absolute;margin-left:126pt;margin-top:0;width:6in;height:.9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nvbdAIAAPkEAAAOAAAAZHJzL2Uyb0RvYy54bWysVNuO2yAQfa/Uf0C8Z21nycXWOqu9NFWl&#10;bbvqth9AAMeoGCiQOGnVf++AkzTbvqyq5oEwnmE4c+YMV9e7TqGtcF4aXePiIsdIaGa41Osaf/m8&#10;HM0x8oFqTpXRosZ74fH14vWrq95WYmxao7hwCJJoX/W2xm0Itsoyz1rRUX9hrNDgbIzraADTrTPu&#10;aA/ZO5WN83ya9cZx6wwT3sPX+8GJFyl/0wgWPjaNFwGpGgO2kFaX1lVcs8UVrdaO2layAwz6Dyg6&#10;KjVcekp1TwNFGyf/StVJ5ow3TbhgpstM00gmUg1QTZH/Uc1TS61ItQA53p5o8v8vLfuwfXRI8hpf&#10;Aj2adtCjT8Aa1WslELmMBPXWVxD3ZB9dLNHbB8O+eqTNXQth4sY507eCcoBVxPjs2YFoeDiKVv17&#10;wyE93QSTuNo1rosJgQW0Sy3Zn1oidgEx+Dgh8ynJARoDXzHOp5N0A62Oh63z4a0wHYqbGjvAnpLT&#10;7YMPEQytjiEJvFGSL6VSyXDr1Z1yaEujOtLvkN2fhykdg7WJx4aMwxfACHdEX0Sbuv2jLMYkvx2X&#10;o+V0PhuRJZmMylk+H+VFeVtOc1KS++XPCLAgVSs5F/pBanFUXkFe1tnDDAyaSdpDfaQuFXUO3b+s&#10;wk4GmEIluxrPTzTQKjb1jeZQM60ClWrYZ8+xJ4qBgON/oiRJIHZ9UM/K8D0owBnoEPQS3gvYtMZ9&#10;x6iH2aux/7ahTmCk3mlQUVkQEoc1GWQyG4Phzj2rcw/VDFLVOGA0bO/CMOAb6+S6hZuKRIw2N6C8&#10;RiZVRFUOqA56hflKFRzegjjA53aK+v1iLX4B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gY5723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1DC94E4C" w14:textId="77777777" w:rsidR="00F843B9" w:rsidRDefault="00F843B9" w:rsidP="008B6636">
    <w:r>
      <w:tab/>
    </w:r>
    <w:r>
      <w:tab/>
      <w:t>Internal Control Phase</w:t>
    </w:r>
  </w:p>
  <w:p w14:paraId="4ECD6D16" w14:textId="77777777" w:rsidR="00F843B9" w:rsidRDefault="00F843B9" w:rsidP="008B6636">
    <w:r>
      <w:tab/>
    </w:r>
  </w:p>
  <w:p w14:paraId="39DEB6AA" w14:textId="77777777" w:rsidR="00F843B9" w:rsidRDefault="00F843B9" w:rsidP="008B6636">
    <w:pPr>
      <w:rPr>
        <w:sz w:val="32"/>
        <w:szCs w:val="32"/>
      </w:rPr>
    </w:pPr>
    <w:r>
      <w:rPr>
        <w:noProof/>
      </w:rPr>
      <mc:AlternateContent>
        <mc:Choice Requires="wps">
          <w:drawing>
            <wp:anchor distT="0" distB="0" distL="114300" distR="114300" simplePos="0" relativeHeight="251652608" behindDoc="1" locked="1" layoutInCell="0" allowOverlap="1" wp14:anchorId="123C88DE" wp14:editId="375B6FC9">
              <wp:simplePos x="0" y="0"/>
              <wp:positionH relativeFrom="page">
                <wp:posOffset>1600200</wp:posOffset>
              </wp:positionH>
              <wp:positionV relativeFrom="paragraph">
                <wp:posOffset>0</wp:posOffset>
              </wp:positionV>
              <wp:extent cx="5486400" cy="12065"/>
              <wp:effectExtent l="0" t="0" r="0" b="0"/>
              <wp:wrapNone/>
              <wp:docPr id="29"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6F5A9B" id="Rectangle 44" o:spid="_x0000_s1026" style="position:absolute;margin-left:126pt;margin-top:0;width:6in;height:.95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IGudAIAAPk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3BZ&#10;YaRpDz36BKxRvVECERIJGqyvIe7RPrhYorf3hn31SJvbDsLEtXNm6ATlAKuI8dmzA9HwcBSth/eG&#10;Q3q6DSZxtW9dHxMCC2ifWvJ0aonYB8Tg45TMZySHzjHwFWU+m6YbaH08bJ0Pb4XpUdw02AH2lJzu&#10;7n2IYGh9DEngjZJ8JZVKhtusb5VDOxrVkX6H7P48TOkYrE08NmYcvwBGuCP6ItrU7R9VUZL8pqwm&#10;q9n8ckJWZDqpLvP5JC+qm2qWk4rcrX5GgAWpO8m50PdSi6PyCvKyzh5mYNRM0h4aInWpqHPo/mUV&#10;9jLAFCrZN3h+ooHWsalvNIeaaR2oVOM+e449UQwEHP8TJUkCseujetaGP4ECnIEOQS/hvYBNZ9x3&#10;jAaYvQb7b1vqBEbqnQYVVQUhcViTQaaXJRju3LM+91DNIFWDA0bj9jaMA761Tm46uKlIxGhzDcpr&#10;ZVJFVOWI6qBXmK9UweEtiAN8bqeo3y/W8hc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S+iBrn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30127126" w14:textId="77777777" w:rsidR="00F843B9" w:rsidRDefault="00F843B9">
    <w:pPr>
      <w:pStyle w:val="Heading1"/>
    </w:pPr>
    <w:r>
      <w:tab/>
    </w:r>
    <w:r>
      <w:tab/>
      <w:t>395 C -</w:t>
    </w:r>
    <w:r>
      <w:tab/>
      <w:t>TYPICAL CONTROL ACTIVITIES</w:t>
    </w:r>
  </w:p>
  <w:p w14:paraId="4E8B8D07" w14:textId="77777777" w:rsidR="00F843B9" w:rsidRDefault="00F843B9" w:rsidP="008B6636"/>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3A86C" w14:textId="77777777" w:rsidR="00F843B9" w:rsidRPr="00B73100" w:rsidRDefault="00F843B9" w:rsidP="00666BFE">
    <w:pPr>
      <w:pStyle w:val="Header"/>
      <w:spacing w:before="0"/>
    </w:pPr>
    <w:r w:rsidRPr="00B73100">
      <w:t>Internal Control Phase</w:t>
    </w:r>
  </w:p>
  <w:p w14:paraId="2C80EADD" w14:textId="4015F492" w:rsidR="00F843B9" w:rsidRPr="00B73100" w:rsidRDefault="00602497" w:rsidP="00CC5F9D">
    <w:pPr>
      <w:pStyle w:val="Header"/>
    </w:pPr>
    <w:r>
      <w:fldChar w:fldCharType="begin"/>
    </w:r>
    <w:r>
      <w:instrText xml:space="preserve"> STYLEREF  "Heading 2 FAM"  \* MERGEFORMAT </w:instrText>
    </w:r>
    <w:r>
      <w:fldChar w:fldCharType="separate"/>
    </w:r>
    <w:r w:rsidR="00C47D20">
      <w:rPr>
        <w:noProof/>
      </w:rPr>
      <w:t>395 D – Selected Statutes Relevant to Budget Execution</w:t>
    </w:r>
    <w:r>
      <w:rPr>
        <w:noProof/>
      </w:rPr>
      <w:fldChar w:fldCharType="end"/>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4D62C" w14:textId="77777777" w:rsidR="00F843B9" w:rsidRDefault="00F843B9" w:rsidP="008B6636">
    <w:r>
      <w:rPr>
        <w:noProof/>
      </w:rPr>
      <mc:AlternateContent>
        <mc:Choice Requires="wps">
          <w:drawing>
            <wp:anchor distT="0" distB="0" distL="114300" distR="114300" simplePos="0" relativeHeight="251661824" behindDoc="1" locked="1" layoutInCell="1" allowOverlap="1" wp14:anchorId="39BC969B" wp14:editId="12EA7CF2">
              <wp:simplePos x="0" y="0"/>
              <wp:positionH relativeFrom="page">
                <wp:posOffset>1384935</wp:posOffset>
              </wp:positionH>
              <wp:positionV relativeFrom="paragraph">
                <wp:posOffset>-35560</wp:posOffset>
              </wp:positionV>
              <wp:extent cx="5486400" cy="12065"/>
              <wp:effectExtent l="3810" t="2540" r="0" b="4445"/>
              <wp:wrapNone/>
              <wp:docPr id="27"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316346" id="Rectangle 53" o:spid="_x0000_s1026" style="position:absolute;margin-left:109.05pt;margin-top:-2.8pt;width:6in;height:.9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z/OdQIAAPkEAAAOAAAAZHJzL2Uyb0RvYy54bWysVNuO0zAQfUfiHyy/d3MhvSRqutptKUJa&#10;YMXCB7i201g4trHdpruIf2fstKULLytEH1xPZjw+c+aM59eHTqI9t05oVePsKsWIK6qZUNsaf/2y&#10;Hs0wcp4oRqRWvMaP3OHrxetX895UPNetloxbBEmUq3pT49Z7UyWJoy3viLvShitwNtp2xINptwmz&#10;pIfsnUzyNJ0kvbbMWE25c/B1NTjxIuZvGk79p6Zx3CNZY8Dm42rjuglrspiTamuJaQU9wiD/gKIj&#10;QsGl51Qr4gnaWfFXqk5Qq51u/BXVXaKbRlAea4BqsvSPah5aYnisBchx5kyT+39p6cf9vUWC1Tif&#10;YqRIBz36DKwRtZUcjd8EgnrjKoh7MPc2lOjMnabfHFJ62UIYv7FW9y0nDGBlIT55diAYDo6iTf9B&#10;M0hPdl5Hrg6N7UJCYAEdYksezy3hB48ofBwXs0mRQuco+LI8nYzjDaQ6HTbW+XdcdyhsamwBe0xO&#10;9nfOBzCkOoVE8FoKthZSRsNuN0tp0Z4EdcTfMbu7DJMqBCsdjg0Zhy+AEe4IvoA2dvtHmeVFepuX&#10;o/VkNh0V62I8KqfpbJRm5W05SYuyWK1/BoBZUbWCMa7uhOIn5WXFyzp7nIFBM1F7qA/UxaIuobuX&#10;VdgJD1MoRVfj2ZkGUoWmvlUMaiaVJ0IO++Q59kgxEHD6j5RECYSuD+rZaPYICrAaOgS9hPcCNq22&#10;Txj1MHs1dt93xHKM5HsFKiqzogjDGo1iPM3BsJeezaWHKAqpauwxGrZLPwz4zlixbeGmLBKj9A0o&#10;rxFRFUGVA6qjXmG+YgXHtyAM8KUdo36/WItfAAAA//8DAFBLAwQUAAYACAAAACEAMetL5twAAAAK&#10;AQAADwAAAGRycy9kb3ducmV2LnhtbEyPTU+EMBCG7yb+h2ZMvO22gIsEKRs18Wqy6MVboSMQ6RRp&#10;dxf/vbMnPc47T96Par+6SZxwCaMnDclWgUDqvB2p1/D+9rIpQIRoyJrJE2r4wQD7+vqqMqX1Zzrg&#10;qYm9YBMKpdEwxDiXUoZuQGfC1s9I/Pv0izORz6WXdjFnNneTTJXKpTMjccJgZnwesPtqjo5zP7JG&#10;zcX3U0/u9e7Q5nPW5jutb2/WxwcQEdf4B8OlPleHmju1/kg2iElDmhQJoxo2uxzEBVBFykrLSnYP&#10;sq7k/wn1LwAAAP//AwBQSwECLQAUAAYACAAAACEAtoM4kv4AAADhAQAAEwAAAAAAAAAAAAAAAAAA&#10;AAAAW0NvbnRlbnRfVHlwZXNdLnhtbFBLAQItABQABgAIAAAAIQA4/SH/1gAAAJQBAAALAAAAAAAA&#10;AAAAAAAAAC8BAABfcmVscy8ucmVsc1BLAQItABQABgAIAAAAIQDmVz/OdQIAAPkEAAAOAAAAAAAA&#10;AAAAAAAAAC4CAABkcnMvZTJvRG9jLnhtbFBLAQItABQABgAIAAAAIQAx60vm3AAAAAoBAAAPAAAA&#10;AAAAAAAAAAAAAM8EAABkcnMvZG93bnJldi54bWxQSwUGAAAAAAQABADzAAAA2AUAAAAA&#10;" fillcolor="black" stroked="f" strokeweight="0">
              <w10:wrap anchorx="page"/>
              <w10:anchorlock/>
            </v:rect>
          </w:pict>
        </mc:Fallback>
      </mc:AlternateContent>
    </w:r>
  </w:p>
  <w:p w14:paraId="0B992D21" w14:textId="77777777" w:rsidR="00F843B9" w:rsidRDefault="00F843B9" w:rsidP="008B6636">
    <w:r>
      <w:t>Internal Control Phase</w:t>
    </w:r>
  </w:p>
  <w:p w14:paraId="0E6507FC" w14:textId="77777777" w:rsidR="00F843B9" w:rsidRDefault="00F843B9">
    <w:pPr>
      <w:pStyle w:val="Heading2"/>
      <w:rPr>
        <w:rFonts w:ascii="NewCenturySchlbk" w:hAnsi="NewCenturySchlbk"/>
      </w:rPr>
    </w:pPr>
    <w:r>
      <w:t>395 E - Budget Execution Process</w:t>
    </w:r>
  </w:p>
  <w:p w14:paraId="54EFFC7A" w14:textId="77777777" w:rsidR="00F843B9" w:rsidRDefault="00F843B9" w:rsidP="008B6636">
    <w:r>
      <w:rPr>
        <w:noProof/>
      </w:rPr>
      <mc:AlternateContent>
        <mc:Choice Requires="wps">
          <w:drawing>
            <wp:anchor distT="0" distB="0" distL="114300" distR="114300" simplePos="0" relativeHeight="251662848" behindDoc="1" locked="1" layoutInCell="1" allowOverlap="1" wp14:anchorId="48C81213" wp14:editId="3E6A4BA7">
              <wp:simplePos x="0" y="0"/>
              <wp:positionH relativeFrom="page">
                <wp:posOffset>1384935</wp:posOffset>
              </wp:positionH>
              <wp:positionV relativeFrom="paragraph">
                <wp:posOffset>-23495</wp:posOffset>
              </wp:positionV>
              <wp:extent cx="5486400" cy="12065"/>
              <wp:effectExtent l="3810" t="0" r="0" b="1905"/>
              <wp:wrapNone/>
              <wp:docPr id="26"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2AF9E8" id="Rectangle 54" o:spid="_x0000_s1026" style="position:absolute;margin-left:109.05pt;margin-top:-1.85pt;width:6in;height:.9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FMGdAIAAPk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3A5&#10;w0jTHnr0CVijeqMEmpJI0GB9DXGP9sHFEr29N+yrR9rcdhAmrp0zQycoB1hFjM+eHYiGh6NoPbw3&#10;HNLTbTCJq33r+pgQWED71JKnU0vEPiAGH6dkPiM5dI6Bryjz2TTdQOvjYet8eCtMj+KmwQ6wp+R0&#10;d+9DBEPrY0gCb5TkK6lUMtxmfasc2tGojvQ7ZPfnYUrHYG3isTHj+AUwwh3RF9Gmbv+oipLkN2U1&#10;Wc3mlxOyItNJdZnPJ3lR3VSznFTkbvUzAixI3UnOhb6XWhyVV5CXdfYwA6NmkvbQEKlLRZ1D9y+r&#10;sJcBplDJvsHzEw20jk19oznUTOtApRr32XPsiWIg4PifKEkSiF0f1bM2/AkU4Ax0CHoJ7wVsOuO+&#10;YzTA7DXYf9tSJzBS7zSoqCoIicOaDDK9LMFw5571uYdqBqkaHDAat7dhHPCtdXLTwU1FIkaba1Be&#10;K5MqoipHVAe9wnylCg5vQRzgcztF/X6xlr8AAAD//wMAUEsDBBQABgAIAAAAIQCiHDp03AAAAAoB&#10;AAAPAAAAZHJzL2Rvd25yZXYueG1sTI89T8MwEIZ3JP6DdUhsrZ0EghXiVIDEitSUhc2JTRIRn03s&#10;tuHfc51gvPcevR/1bnUzO9klTh4VZFsBzGLvzYSDgvfD60YCi0mj0bNHq+DHRtg111e1row/496e&#10;2jQwMsFYaQVjSqHiPPajdTpufbBIv0+/OJ3oXAZuFn0mczfzXIiSOz0hJYw62JfR9l/t0VHuR9GK&#10;IL+fB3Rvd/uuDEVX3it1e7M+PQJLdk1/MFzqU3VoqFPnj2gimxXkmcwIVbApHoBdACFzUjpSMgm8&#10;qfn/Cc0vAAAA//8DAFBLAQItABQABgAIAAAAIQC2gziS/gAAAOEBAAATAAAAAAAAAAAAAAAAAAAA&#10;AABbQ29udGVudF9UeXBlc10ueG1sUEsBAi0AFAAGAAgAAAAhADj9If/WAAAAlAEAAAsAAAAAAAAA&#10;AAAAAAAALwEAAF9yZWxzLy5yZWxzUEsBAi0AFAAGAAgAAAAhAMboUwZ0AgAA+QQAAA4AAAAAAAAA&#10;AAAAAAAALgIAAGRycy9lMm9Eb2MueG1sUEsBAi0AFAAGAAgAAAAhAKIcOnTcAAAACgEAAA8AAAAA&#10;AAAAAAAAAAAAzgQAAGRycy9kb3ducmV2LnhtbFBLBQYAAAAABAAEAPMAAADXBQAAAAA=&#10;" fillcolor="black" stroked="f" strokeweight="0">
              <w10:wrap anchorx="page"/>
              <w10:anchorlock/>
            </v:rect>
          </w:pict>
        </mc:Fallback>
      </mc:AlternateContent>
    </w:r>
  </w:p>
  <w:p w14:paraId="15B5BB6D" w14:textId="77777777" w:rsidR="00F843B9" w:rsidRDefault="00F843B9" w:rsidP="008B6636"/>
  <w:p w14:paraId="77E3F5AC" w14:textId="77777777" w:rsidR="00F843B9" w:rsidRDefault="00F843B9" w:rsidP="008B6636"/>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81E70" w14:textId="77777777" w:rsidR="00F843B9" w:rsidRPr="00D20FD5" w:rsidRDefault="00F843B9" w:rsidP="00666BFE">
    <w:pPr>
      <w:pStyle w:val="Header"/>
      <w:spacing w:before="0"/>
    </w:pPr>
    <w:r w:rsidRPr="00D20FD5">
      <w:t>Internal Control Phase</w:t>
    </w:r>
  </w:p>
  <w:p w14:paraId="3994A54D" w14:textId="2081B2F4" w:rsidR="00F843B9" w:rsidRPr="00D20FD5" w:rsidRDefault="00602497" w:rsidP="00CC5F9D">
    <w:pPr>
      <w:pStyle w:val="Header"/>
    </w:pPr>
    <w:r>
      <w:fldChar w:fldCharType="begin"/>
    </w:r>
    <w:r>
      <w:instrText xml:space="preserve"> STYLEREF  "Heading 2 FAM"  \* MERGEFORMAT </w:instrText>
    </w:r>
    <w:r>
      <w:fldChar w:fldCharType="separate"/>
    </w:r>
    <w:r>
      <w:rPr>
        <w:noProof/>
      </w:rPr>
      <w:t>395 E – Budget Execution Process</w:t>
    </w:r>
    <w:r>
      <w:rPr>
        <w:noProof/>
      </w:rPr>
      <w:fldChar w:fldCharType="end"/>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3A85C" w14:textId="77777777" w:rsidR="00F843B9" w:rsidRDefault="00F843B9" w:rsidP="008B6636">
    <w:pPr>
      <w:rPr>
        <w:sz w:val="32"/>
        <w:szCs w:val="32"/>
      </w:rPr>
    </w:pPr>
    <w:r>
      <w:rPr>
        <w:noProof/>
      </w:rPr>
      <mc:AlternateContent>
        <mc:Choice Requires="wps">
          <w:drawing>
            <wp:anchor distT="0" distB="0" distL="114300" distR="114300" simplePos="0" relativeHeight="251657728" behindDoc="1" locked="1" layoutInCell="0" allowOverlap="1" wp14:anchorId="16A133AA" wp14:editId="4147C23F">
              <wp:simplePos x="0" y="0"/>
              <wp:positionH relativeFrom="page">
                <wp:posOffset>1600200</wp:posOffset>
              </wp:positionH>
              <wp:positionV relativeFrom="paragraph">
                <wp:posOffset>0</wp:posOffset>
              </wp:positionV>
              <wp:extent cx="5486400" cy="12065"/>
              <wp:effectExtent l="0" t="0" r="0" b="0"/>
              <wp:wrapNone/>
              <wp:docPr id="24"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7A3838" id="Rectangle 49" o:spid="_x0000_s1026" style="position:absolute;margin-left:126pt;margin-top:0;width:6in;height:.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QU9dAIAAPk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3BJ&#10;MNK0hx59Atao3iiBSBUJGqyvIe7RPrhYorf3hn31SJvbDsLEtXNm6ATlAKuI8dmzA9HwcBSth/eG&#10;Q3q6DSZxtW9dHxMCC2ifWvJ0aonYB8Tg45TMZySHzjHwFWU+m6YbaH08bJ0Pb4XpUdw02AH2lJzu&#10;7n2IYGh9DEngjZJ8JZVKhtusb5VDOxrVkX6H7P48TOkYrE08NmYcvwBGuCP6ItrU7R9VUZL8pqwm&#10;q9n8ckJWZDqpLvP5JC+qm2qWk4rcrX5GgAWpO8m50PdSi6PyCvKyzh5mYNRM0h4aInWpqHPo/mUV&#10;9jLAFCrZN3h+ooHWsalvNIeaaR2oVOM+e449UQwEHP8TJUkCseujetaGP4ECnIEOQS/hvYBNZ9x3&#10;jAaYvQb7b1vqBEbqnQYVVQUhcViTQaaXJRju3LM+91DNIFWDA0bj9jaMA761Tm46uKlIxGhzDcpr&#10;ZVJFVOWI6qBXmK9UweEtiAN8bqeo3y/W8hc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wlEFPX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0D5E96BC" w14:textId="77777777" w:rsidR="00F843B9" w:rsidRDefault="00F843B9" w:rsidP="008B6636">
    <w:r>
      <w:tab/>
    </w:r>
    <w:r>
      <w:tab/>
      <w:t>Internal Control Phase</w:t>
    </w:r>
  </w:p>
  <w:p w14:paraId="00C95E73" w14:textId="77777777" w:rsidR="00F843B9" w:rsidRDefault="00F843B9" w:rsidP="008B6636">
    <w:r>
      <w:tab/>
    </w:r>
  </w:p>
  <w:p w14:paraId="48392570" w14:textId="77777777" w:rsidR="00F843B9" w:rsidRDefault="00F843B9" w:rsidP="008B6636">
    <w:pPr>
      <w:rPr>
        <w:sz w:val="32"/>
        <w:szCs w:val="32"/>
      </w:rPr>
    </w:pPr>
    <w:r>
      <w:rPr>
        <w:noProof/>
      </w:rPr>
      <mc:AlternateContent>
        <mc:Choice Requires="wps">
          <w:drawing>
            <wp:anchor distT="0" distB="0" distL="114300" distR="114300" simplePos="0" relativeHeight="251658752" behindDoc="1" locked="1" layoutInCell="0" allowOverlap="1" wp14:anchorId="78F3BB48" wp14:editId="3964B58A">
              <wp:simplePos x="0" y="0"/>
              <wp:positionH relativeFrom="page">
                <wp:posOffset>1600200</wp:posOffset>
              </wp:positionH>
              <wp:positionV relativeFrom="paragraph">
                <wp:posOffset>0</wp:posOffset>
              </wp:positionV>
              <wp:extent cx="5486400" cy="12065"/>
              <wp:effectExtent l="0" t="0" r="0" b="0"/>
              <wp:wrapNone/>
              <wp:docPr id="23"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028336" id="Rectangle 50" o:spid="_x0000_s1026" style="position:absolute;margin-left:126pt;margin-top:0;width:6in;height:.9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W6acwIAAPkEAAAOAAAAZHJzL2Uyb0RvYy54bWysVG1v0zAQ/o7Ef7D8vc0LaddES6dtpQhp&#10;wMTgB7i2k1g4trHdpgPx3zk7bdfBlwnRD64vd3783HN3vrza9xLtuHVCqxpn0xQjrqhmQrU1/vpl&#10;PVlg5DxRjEiteI0fucNXy9evLgdT8Vx3WjJuEYAoVw2mxp33pkoSRzveEzfVhitwNtr2xINp24RZ&#10;MgB6L5M8TefJoC0zVlPuHHxdjU68jPhNw6n/1DSOeyRrDNx8XG1cN2FNlpekai0xnaAHGuQfWPRE&#10;KLj0BLUinqCtFX9B9YJa7XTjp1T3iW4aQXnMAbLJ0j+yeeiI4TEXEMeZk0zu/8HSj7t7iwSrcf4G&#10;I0V6qNFnUI2oVnI0iwINxlUQ92DubUjRmTtNvzmk9G0HYfzaWj10nDCglQVBk2cHguHgKNoMHzQD&#10;eLL1Omq1b2wfAEEFtI8leTyVhO89ovBxVizmRQqVo+DL8nQ+izeQ6njYWOffcd2jsKmxBe4RnOzu&#10;nA9kSHUMieS1FGwtpIyGbTe30qIdCd0Rfwd0dx4mVQhWOhwbEccvwBHuCL7ANlb7Z5nlRXqTl5P1&#10;fHExKdbFbFJepItJmpU35TwtymK1/hUIZkXVCca4uhOKHzsvK15W2cMMjD0Tew8NQbqY1Dl197IM&#10;e+FhCqXoa7w4yUCqUNS3isUZ8UTIcZ885x4lBgGO/1GS2AKh6mEQXbXR7BE6wGqoENQS3gvYdNr+&#10;wGiA2aux+74llmMk3yvoojIrijCs0ShmFzkY9tyzOfcQRQGqxh6jcXvrxwHfGivaDm7KojBKX0Pn&#10;NSJ2xROrQ7/CfMUMDm9BGOBzO0Y9vVjL3wAAAP//AwBQSwMEFAAGAAgAAAAhAGR34yzbAAAABwEA&#10;AA8AAABkcnMvZG93bnJldi54bWxMj0FPwzAMhe9I+w+RJ3FjabutGqXpBEhcJ63jwi1tTFvROKHJ&#10;tvLv8U5wsZ71rPc+l/vZjuKCUxgcKUhXCQik1pmBOgXvp7eHHYgQNRk9OkIFPxhgXy3uSl0Yd6Uj&#10;XurYCQ6hUGgFfYy+kDK0PVodVs4jsffpJqsjr1MnzaSvHG5HmSVJLq0eiBt67fG1x/arPlvu/VjX&#10;id99v3RkD5tjk/t1k2+Vul/Oz08gIs7x7xhu+IwOFTM17kwmiFFBts34l6iA581O05xVw+oRZFXK&#10;//zVLwAAAP//AwBQSwECLQAUAAYACAAAACEAtoM4kv4AAADhAQAAEwAAAAAAAAAAAAAAAAAAAAAA&#10;W0NvbnRlbnRfVHlwZXNdLnhtbFBLAQItABQABgAIAAAAIQA4/SH/1gAAAJQBAAALAAAAAAAAAAAA&#10;AAAAAC8BAABfcmVscy8ucmVsc1BLAQItABQABgAIAAAAIQCIhW6acwIAAPkEAAAOAAAAAAAAAAAA&#10;AAAAAC4CAABkcnMvZTJvRG9jLnhtbFBLAQItABQABgAIAAAAIQBkd+Ms2wAAAAcBAAAPAAAAAAAA&#10;AAAAAAAAAM0EAABkcnMvZG93bnJldi54bWxQSwUGAAAAAAQABADzAAAA1QUAAAAA&#10;" o:allowincell="f" fillcolor="black" stroked="f" strokeweight="0">
              <w10:wrap anchorx="page"/>
              <w10:anchorlock/>
            </v:rect>
          </w:pict>
        </mc:Fallback>
      </mc:AlternateContent>
    </w:r>
  </w:p>
  <w:p w14:paraId="535E145A" w14:textId="77777777" w:rsidR="00F843B9" w:rsidRDefault="00F843B9">
    <w:pPr>
      <w:pStyle w:val="Heading1"/>
    </w:pPr>
    <w:r>
      <w:tab/>
    </w:r>
    <w:r>
      <w:tab/>
      <w:t>395 E -</w:t>
    </w:r>
    <w:r>
      <w:tab/>
      <w:t>BUDGET EXECUTION PROCESS</w:t>
    </w:r>
  </w:p>
  <w:p w14:paraId="5B3F9DC1" w14:textId="77777777" w:rsidR="00F843B9" w:rsidRDefault="00F843B9" w:rsidP="008B6636"/>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82028" w14:textId="77777777" w:rsidR="00F843B9" w:rsidRPr="00D20FD5" w:rsidRDefault="00F843B9" w:rsidP="00666BFE">
    <w:pPr>
      <w:pStyle w:val="Header"/>
      <w:spacing w:before="0"/>
    </w:pPr>
    <w:r w:rsidRPr="00D20FD5">
      <w:t>Internal Control Phase</w:t>
    </w:r>
  </w:p>
  <w:p w14:paraId="4B467D8A" w14:textId="77777777" w:rsidR="00F843B9" w:rsidRPr="00D20FD5" w:rsidRDefault="00F843B9" w:rsidP="00CC5F9D">
    <w:pPr>
      <w:pStyle w:val="Header"/>
    </w:pPr>
    <w:r>
      <w:rPr>
        <w:noProof/>
      </w:rPr>
      <w:t>395 F – Budget Control Objectives</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4D9B7" w14:textId="77777777" w:rsidR="00F843B9" w:rsidRDefault="00F843B9" w:rsidP="008B6636">
    <w:r>
      <w:rPr>
        <w:noProof/>
      </w:rPr>
      <mc:AlternateContent>
        <mc:Choice Requires="wps">
          <w:drawing>
            <wp:anchor distT="0" distB="0" distL="114300" distR="114300" simplePos="0" relativeHeight="251676160" behindDoc="1" locked="1" layoutInCell="1" allowOverlap="1" wp14:anchorId="1494C00F" wp14:editId="2998BEFD">
              <wp:simplePos x="0" y="0"/>
              <wp:positionH relativeFrom="page">
                <wp:posOffset>1384935</wp:posOffset>
              </wp:positionH>
              <wp:positionV relativeFrom="paragraph">
                <wp:posOffset>-35560</wp:posOffset>
              </wp:positionV>
              <wp:extent cx="5486400" cy="12065"/>
              <wp:effectExtent l="3810" t="2540" r="0" b="4445"/>
              <wp:wrapNone/>
              <wp:docPr id="9"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55DE72" id="Rectangle 67" o:spid="_x0000_s1026" style="position:absolute;margin-left:109.05pt;margin-top:-2.8pt;width:6in;height:.95pt;z-index:-251640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ZwjcwIAAPgEAAAOAAAAZHJzL2Uyb0RvYy54bWysVNuO2jAQfa/Uf7D8DklQuCQirHahVJVo&#10;u+q2H2Bsh1h1bNc2BFr13zt2gLLty6oqD8aTGY/PnDnj+d2xlejArRNaVTgbphhxRTUTalfhL5/X&#10;gxlGzhPFiNSKV/jEHb5bvH4170zJR7rRknGLIIlyZWcq3HhvyiRxtOEtcUNtuAJnrW1LPJh2lzBL&#10;OsjeymSUppOk05YZqyl3Dr6ueidexPx1zan/WNeOeyQrDNh8XG1ct2FNFnNS7iwxjaBnGOQfULRE&#10;KLj0mmpFPEF7K/5K1QpqtdO1H1LdJrquBeWxBqgmS/+o5qkhhsdagBxnrjS5/5eWfjg8WiRYhQuM&#10;FGmhRZ+ANKJ2kqPJNPDTGVdC2JN5tKFCZzaafnVI6WUDYfzeWt01nDBAlYX45NmBYDg4irbde80g&#10;Pdl7Hak61rYNCYEEdIwdOV07wo8eUfg4zmeTPIXGUfBlo3QyjjeQ8nLYWOffct2isKmwBewxOTls&#10;nA9gSHkJieC1FGwtpIyG3W2X0qIDCeKIv3N2dxsmVQhWOhzrM/ZfACPcEXwBbWz2jyIb5enDqBis&#10;J7PpIF/n40ExTWeDNCseikmaF/lq/TMAzPKyEYxxtRGKX4SX5S9r7HkEeslE6aEuUBeLuoXuXlZh&#10;KzwMoRRthWdXGkgZmvpGMaiZlJ4I2e+T59gjxUDA5T9SEiUQut6rZ6vZCRRgNXQIegnPBWwabb9j&#10;1MHoVdh92xPLMZLvFKioyPI8zGo08vF0BIa99WxvPURRSFVhj1G/Xfp+vvfGil0DN2WRGKXvQXm1&#10;iKoIquxRnfUK4xUrOD8FYX5v7Rj1+8Fa/AIAAP//AwBQSwMEFAAGAAgAAAAhADHrS+bcAAAACgEA&#10;AA8AAABkcnMvZG93bnJldi54bWxMj01PhDAQhu8m/odmTLzttoCLBCkbNfFqsujFW6EjEOkUaXcX&#10;/72zJz3OO0/ej2q/ukmccAmjJw3JVoFA6rwdqdfw/vayKUCEaMiayRNq+MEA+/r6qjKl9Wc64KmJ&#10;vWATCqXRMMQ4l1KGbkBnwtbPSPz79Iszkc+ll3YxZzZ3k0yVyqUzI3HCYGZ8HrD7ao6Ocz+yRs3F&#10;91NP7vXu0OZz1uY7rW9v1scHEBHX+AfDpT5Xh5o7tf5INohJQ5oUCaMaNrscxAVQRcpKy0p2D7Ku&#10;5P8J9S8AAAD//wMAUEsBAi0AFAAGAAgAAAAhALaDOJL+AAAA4QEAABMAAAAAAAAAAAAAAAAAAAAA&#10;AFtDb250ZW50X1R5cGVzXS54bWxQSwECLQAUAAYACAAAACEAOP0h/9YAAACUAQAACwAAAAAAAAAA&#10;AAAAAAAvAQAAX3JlbHMvLnJlbHNQSwECLQAUAAYACAAAACEA6x2cI3MCAAD4BAAADgAAAAAAAAAA&#10;AAAAAAAuAgAAZHJzL2Uyb0RvYy54bWxQSwECLQAUAAYACAAAACEAMetL5twAAAAKAQAADwAAAAAA&#10;AAAAAAAAAADNBAAAZHJzL2Rvd25yZXYueG1sUEsFBgAAAAAEAAQA8wAAANYFAAAAAA==&#10;" fillcolor="black" stroked="f" strokeweight="0">
              <w10:wrap anchorx="page"/>
              <w10:anchorlock/>
            </v:rect>
          </w:pict>
        </mc:Fallback>
      </mc:AlternateContent>
    </w:r>
  </w:p>
  <w:p w14:paraId="41213180" w14:textId="77777777" w:rsidR="00F843B9" w:rsidRDefault="00F843B9">
    <w:pPr>
      <w:pStyle w:val="Heading2"/>
      <w:ind w:firstLine="1080"/>
    </w:pPr>
    <w:r>
      <w:t>Internal Control Phase</w:t>
    </w:r>
  </w:p>
  <w:p w14:paraId="3174C42F" w14:textId="77777777" w:rsidR="00F843B9" w:rsidRDefault="00F843B9">
    <w:pPr>
      <w:pStyle w:val="Heading2"/>
      <w:ind w:firstLine="1080"/>
    </w:pPr>
    <w:r>
      <w:t>395 H - Specific Control Evaluation Worksheet</w:t>
    </w:r>
  </w:p>
  <w:p w14:paraId="6796F9E4" w14:textId="77777777" w:rsidR="00F843B9" w:rsidRDefault="00F843B9" w:rsidP="008B6636">
    <w:r>
      <w:rPr>
        <w:noProof/>
      </w:rPr>
      <mc:AlternateContent>
        <mc:Choice Requires="wps">
          <w:drawing>
            <wp:anchor distT="0" distB="0" distL="114300" distR="114300" simplePos="0" relativeHeight="251677184" behindDoc="1" locked="1" layoutInCell="1" allowOverlap="1" wp14:anchorId="63E3CAF2" wp14:editId="34ED9A5B">
              <wp:simplePos x="0" y="0"/>
              <wp:positionH relativeFrom="page">
                <wp:posOffset>1384935</wp:posOffset>
              </wp:positionH>
              <wp:positionV relativeFrom="paragraph">
                <wp:posOffset>-23495</wp:posOffset>
              </wp:positionV>
              <wp:extent cx="5486400" cy="12065"/>
              <wp:effectExtent l="3810" t="0" r="0" b="1905"/>
              <wp:wrapNone/>
              <wp:docPr id="8"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5B94FC" id="Rectangle 68" o:spid="_x0000_s1026" style="position:absolute;margin-left:109.05pt;margin-top:-1.85pt;width:6in;height:.95pt;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EU0cwIAAPgEAAAOAAAAZHJzL2Uyb0RvYy54bWysVNuO2jAQfa/Uf7D8DklQuCQirHahVJVo&#10;u+q2H2Bsh1h1bNc2BFr13zt2gLLty6oqD8aTGY/PnDnj+d2xlejArRNaVTgbphhxRTUTalfhL5/X&#10;gxlGzhPFiNSKV/jEHb5bvH4170zJR7rRknGLIIlyZWcq3HhvyiRxtOEtcUNtuAJnrW1LPJh2lzBL&#10;OsjeymSUppOk05YZqyl3Dr6ueidexPx1zan/WNeOeyQrDNh8XG1ct2FNFnNS7iwxjaBnGOQfULRE&#10;KLj0mmpFPEF7K/5K1QpqtdO1H1LdJrquBeWxBqgmS/+o5qkhhsdagBxnrjS5/5eWfjg8WiRYhaFR&#10;irTQok9AGlE7ydFkFvjpjCsh7Mk82lChMxtNvzqk9LKBMH5vre4aThigykJ88uxAMBwcRdvuvWaQ&#10;nuy9jlQda9uGhEACOsaOnK4d4UePKHwc57NJnkLjKPiyUToZxxtIeTlsrPNvuW5R2FTYAvaYnBw2&#10;zgcwpLyERPBaCrYWUkbD7rZLadGBBHHE3zm7uw2TKgQrHY71GfsvgBHuCL6ANjb7R5GN8vRhVAzW&#10;k9l0kK/z8aCYprNBmhUPxSTNi3y1/hkAZnnZCMa42gjFL8LL8pc19jwCvWSi9FAXqItF3UJ3L6uw&#10;FR6GUIoWVHClgZShqW8Ug5pJ6YmQ/T55jj1SDARc/iMlUQKh6716tpqdQAFWQ4egl/BcwKbR9jtG&#10;HYxehd23PbEcI/lOgYqKLM/DrEYjH09HYNhbz/bWQxSFVBX2GPXbpe/ne2+s2DVwUxaJUfoelFeL&#10;qIqgyh7VWa8wXrGC81MQ5vfWjlG/H6zFLwAAAP//AwBQSwMEFAAGAAgAAAAhAKIcOnTcAAAACgEA&#10;AA8AAABkcnMvZG93bnJldi54bWxMjz1PwzAQhnck/oN1SGytnQSCFeJUgMSK1JSFzYlNEhGfTey2&#10;4d9znWC89x69H/VudTM72SVOHhVkWwHMYu/NhIOC98PrRgKLSaPRs0er4MdG2DXXV7WujD/j3p7a&#10;NDAywVhpBWNKoeI89qN1Om59sEi/T784nehcBm4WfSZzN/NciJI7PSEljDrYl9H2X+3RUe5H0Yog&#10;v58HdG93+64MRVfeK3V7sz49Akt2TX8wXOpTdWioU+ePaCKbFeSZzAhVsCkegF0AIXNSOlIyCbyp&#10;+f8JzS8AAAD//wMAUEsBAi0AFAAGAAgAAAAhALaDOJL+AAAA4QEAABMAAAAAAAAAAAAAAAAAAAAA&#10;AFtDb250ZW50X1R5cGVzXS54bWxQSwECLQAUAAYACAAAACEAOP0h/9YAAACUAQAACwAAAAAAAAAA&#10;AAAAAAAvAQAAX3JlbHMvLnJlbHNQSwECLQAUAAYACAAAACEA0IhFNHMCAAD4BAAADgAAAAAAAAAA&#10;AAAAAAAuAgAAZHJzL2Uyb0RvYy54bWxQSwECLQAUAAYACAAAACEAohw6dNwAAAAKAQAADwAAAAAA&#10;AAAAAAAAAADNBAAAZHJzL2Rvd25yZXYueG1sUEsFBgAAAAAEAAQA8wAAANYFAAAAAA==&#10;" fillcolor="black" stroked="f" strokeweight="0">
              <w10:wrap anchorx="page"/>
              <w10:anchorlock/>
            </v:rect>
          </w:pict>
        </mc:Fallback>
      </mc:AlternateContent>
    </w:r>
  </w:p>
  <w:p w14:paraId="25FD9039" w14:textId="77777777" w:rsidR="00F843B9" w:rsidRDefault="00F843B9" w:rsidP="008B6636"/>
  <w:p w14:paraId="0B929FDF" w14:textId="77777777" w:rsidR="00F843B9" w:rsidRDefault="00F843B9" w:rsidP="008B663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7F22A" w14:textId="77777777" w:rsidR="00F843B9" w:rsidRDefault="00F843B9" w:rsidP="008B6636">
    <w:r>
      <w:rPr>
        <w:noProof/>
      </w:rPr>
      <mc:AlternateContent>
        <mc:Choice Requires="wps">
          <w:drawing>
            <wp:anchor distT="0" distB="0" distL="114300" distR="114300" simplePos="0" relativeHeight="251637248" behindDoc="1" locked="1" layoutInCell="1" allowOverlap="1" wp14:anchorId="60613C44" wp14:editId="0D51DF3D">
              <wp:simplePos x="0" y="0"/>
              <wp:positionH relativeFrom="page">
                <wp:posOffset>1384935</wp:posOffset>
              </wp:positionH>
              <wp:positionV relativeFrom="paragraph">
                <wp:posOffset>-35560</wp:posOffset>
              </wp:positionV>
              <wp:extent cx="5486400" cy="12065"/>
              <wp:effectExtent l="3810" t="2540" r="0" b="4445"/>
              <wp:wrapNone/>
              <wp:docPr id="5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2D2F72" id="Rectangle 23" o:spid="_x0000_s1026" style="position:absolute;margin-left:109.05pt;margin-top:-2.8pt;width:6in;height:.95pt;z-index:-251679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zV5dQIAAPkEAAAOAAAAZHJzL2Uyb0RvYy54bWysVG1v0zAQ/o7Ef7D8vc0LaddES6dtpQhp&#10;wMTgB7i2k1g4trHdphviv3N22tLBlwnRD64vdz4/99xzvrza9xLtuHVCqxpn0xQjrqhmQrU1/vpl&#10;PVlg5DxRjEiteI0fucNXy9evLgdT8Vx3WjJuESRRrhpMjTvvTZUkjna8J26qDVfgbLTtiQfTtgmz&#10;ZIDsvUzyNJ0ng7bMWE25c/B1NTrxMuZvGk79p6Zx3CNZY8Dm42rjuglrsrwkVWuJ6QQ9wCD/gKIn&#10;QsGlp1Qr4gnaWvFXql5Qq51u/JTqPtFNIyiPNUA1WfpHNQ8dMTzWAuQ4c6LJ/b+09OPu3iLBajzL&#10;MFKkhx59BtaIaiVH+ZtA0GBcBXEP5t6GEp250/SbQ0rfdhDGr63VQ8cJA1hZiE+eHQiGg6NoM3zQ&#10;DNKTrdeRq31j+5AQWED72JLHU0v43iMKH2fFYl6k0DkKvixP57N4A6mOh411/h3XPQqbGlvAHpOT&#10;3Z3zAQypjiERvJaCrYWU0bDt5lZatCNBHfF3yO7Ow6QKwUqHY2PG8QtghDuCL6CN3f5RZnmR3uTl&#10;ZD1fXEyKdTGblBfpYpJm5U05T4uyWK1/BoBZUXWCMa7uhOJH5WXFyzp7mIFRM1F7aAjUxaLOobuX&#10;VdgLD1MoRV/jxYkGUoWmvlUMaiaVJ0KO++Q59kgxEHD8j5RECYSuj+rZaPYICrAaOgS9hPcCNp22&#10;TxgNMHs1dt+3xHKM5HsFKiqzogjDGo1idpGDYc89m3MPURRS1dhjNG5v/TjgW2NF28FNWSRG6WtQ&#10;XiOiKoIqR1QHvcJ8xQoOb0EY4HM7Rv1+sZa/AAAA//8DAFBLAwQUAAYACAAAACEAMetL5twAAAAK&#10;AQAADwAAAGRycy9kb3ducmV2LnhtbEyPTU+EMBCG7yb+h2ZMvO22gIsEKRs18Wqy6MVboSMQ6RRp&#10;dxf/vbMnPc47T96Par+6SZxwCaMnDclWgUDqvB2p1/D+9rIpQIRoyJrJE2r4wQD7+vqqMqX1Zzrg&#10;qYm9YBMKpdEwxDiXUoZuQGfC1s9I/Pv0izORz6WXdjFnNneTTJXKpTMjccJgZnwesPtqjo5zP7JG&#10;zcX3U0/u9e7Q5nPW5jutb2/WxwcQEdf4B8OlPleHmju1/kg2iElDmhQJoxo2uxzEBVBFykrLSnYP&#10;sq7k/wn1LwAAAP//AwBQSwECLQAUAAYACAAAACEAtoM4kv4AAADhAQAAEwAAAAAAAAAAAAAAAAAA&#10;AAAAW0NvbnRlbnRfVHlwZXNdLnhtbFBLAQItABQABgAIAAAAIQA4/SH/1gAAAJQBAAALAAAAAAAA&#10;AAAAAAAAAC8BAABfcmVscy8ucmVsc1BLAQItABQABgAIAAAAIQA9AzV5dQIAAPkEAAAOAAAAAAAA&#10;AAAAAAAAAC4CAABkcnMvZTJvRG9jLnhtbFBLAQItABQABgAIAAAAIQAx60vm3AAAAAoBAAAPAAAA&#10;AAAAAAAAAAAAAM8EAABkcnMvZG93bnJldi54bWxQSwUGAAAAAAQABADzAAAA2AUAAAAA&#10;" fillcolor="black" stroked="f" strokeweight="0">
              <w10:wrap anchorx="page"/>
              <w10:anchorlock/>
            </v:rect>
          </w:pict>
        </mc:Fallback>
      </mc:AlternateContent>
    </w:r>
  </w:p>
  <w:p w14:paraId="3A31EBF5" w14:textId="77777777" w:rsidR="00F843B9" w:rsidRDefault="00F843B9" w:rsidP="008B6636">
    <w:r>
      <w:tab/>
    </w:r>
    <w:r>
      <w:tab/>
      <w:t>Internal Control Phase</w:t>
    </w:r>
  </w:p>
  <w:p w14:paraId="2835E069" w14:textId="77777777" w:rsidR="00F843B9" w:rsidRDefault="00F843B9" w:rsidP="008B6636">
    <w:r>
      <w:tab/>
    </w:r>
    <w:r>
      <w:tab/>
      <w:t>310 - Overview</w:t>
    </w:r>
  </w:p>
  <w:p w14:paraId="35EEDDC8" w14:textId="77777777" w:rsidR="00F843B9" w:rsidRDefault="00F843B9" w:rsidP="008B6636">
    <w:r>
      <w:rPr>
        <w:noProof/>
      </w:rPr>
      <mc:AlternateContent>
        <mc:Choice Requires="wps">
          <w:drawing>
            <wp:anchor distT="0" distB="0" distL="114300" distR="114300" simplePos="0" relativeHeight="251638272" behindDoc="1" locked="1" layoutInCell="1" allowOverlap="1" wp14:anchorId="18EDD52B" wp14:editId="77179A53">
              <wp:simplePos x="0" y="0"/>
              <wp:positionH relativeFrom="page">
                <wp:posOffset>1384935</wp:posOffset>
              </wp:positionH>
              <wp:positionV relativeFrom="paragraph">
                <wp:posOffset>-23495</wp:posOffset>
              </wp:positionV>
              <wp:extent cx="5486400" cy="12065"/>
              <wp:effectExtent l="3810" t="0" r="0" b="1905"/>
              <wp:wrapNone/>
              <wp:docPr id="5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B65793" id="Rectangle 24" o:spid="_x0000_s1026" style="position:absolute;margin-left:109.05pt;margin-top:-1.85pt;width:6in;height:.95pt;z-index:-2516782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FmxcwIAAPk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AU&#10;6NG0hx59Atao3iiBShIJGqyvIe7RPrhYorf3hn31SJvbDsLEtXNm6ATlAKuI8dmzA9HwcBSth/eG&#10;Q3q6DSZxtW9dHxMCC2ifWvJ0aonYB8Tg45TMZyQHaAx8RZnPpukGWh8PW+fDW2F6FDcNdoA9Jae7&#10;ex8iGFofQxJ4oyRfSaWS4TbrW+XQjkZ1pN8huz8PUzoGaxOPjRnHL4AR7oi+iDZ1+0dVlCS/KavJ&#10;aja/nJAVmU6qy3w+yYvqpprlpCJ3q58RYEHqTnIu9L3U4qi8gryss4cZGDWTtIeGSF0q6hy6f1mF&#10;vQwwhUr2DZ6faKB1bOobzaFmWgcq1bjPnmNPFAMBx/9ESZJA7PqonrXhT6AAZ6BD0Et4L2DTGfcd&#10;owFmr8H+25Y6gZF6p0FFVUFIHNZkkOllCYY796zPPVQzSNXggNG4vQ3jgG+tk5sObioSMdpcg/Ja&#10;mVQRVTmiOugV5itVcHgL4gCf2ynq94u1/AUAAP//AwBQSwMEFAAGAAgAAAAhAKIcOnTcAAAACgEA&#10;AA8AAABkcnMvZG93bnJldi54bWxMjz1PwzAQhnck/oN1SGytnQSCFeJUgMSK1JSFzYlNEhGfTey2&#10;4d9znWC89x69H/VudTM72SVOHhVkWwHMYu/NhIOC98PrRgKLSaPRs0er4MdG2DXXV7WujD/j3p7a&#10;NDAywVhpBWNKoeI89qN1Om59sEi/T784nehcBm4WfSZzN/NciJI7PSEljDrYl9H2X+3RUe5H0Yog&#10;v58HdG93+64MRVfeK3V7sz49Akt2TX8wXOpTdWioU+ePaCKbFeSZzAhVsCkegF0AIXNSOlIyCbyp&#10;+f8JzS8AAAD//wMAUEsBAi0AFAAGAAgAAAAhALaDOJL+AAAA4QEAABMAAAAAAAAAAAAAAAAAAAAA&#10;AFtDb250ZW50X1R5cGVzXS54bWxQSwECLQAUAAYACAAAACEAOP0h/9YAAACUAQAACwAAAAAAAAAA&#10;AAAAAAAvAQAAX3JlbHMvLnJlbHNQSwECLQAUAAYACAAAACEAHbxZsXMCAAD5BAAADgAAAAAAAAAA&#10;AAAAAAAuAgAAZHJzL2Uyb0RvYy54bWxQSwECLQAUAAYACAAAACEAohw6dNwAAAAKAQAADwAAAAAA&#10;AAAAAAAAAADNBAAAZHJzL2Rvd25yZXYueG1sUEsFBgAAAAAEAAQA8wAAANYFAAAAAA==&#10;" fillcolor="black" stroked="f" strokeweight="0">
              <w10:wrap anchorx="page"/>
              <w10:anchorlock/>
            </v:rect>
          </w:pict>
        </mc:Fallback>
      </mc:AlternateContent>
    </w:r>
  </w:p>
  <w:p w14:paraId="27BF1FFE" w14:textId="77777777" w:rsidR="00F843B9" w:rsidRDefault="00F843B9" w:rsidP="008B6636"/>
  <w:p w14:paraId="6A3B210C" w14:textId="77777777" w:rsidR="00F843B9" w:rsidRDefault="00F843B9" w:rsidP="00CC5F9D">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980F9" w14:textId="77777777" w:rsidR="00F843B9" w:rsidRPr="00784B03" w:rsidRDefault="00F843B9" w:rsidP="00666BFE">
    <w:pPr>
      <w:pStyle w:val="Header"/>
      <w:spacing w:before="0"/>
    </w:pPr>
    <w:r w:rsidRPr="00784B03">
      <w:t>Internal Control Phase</w:t>
    </w:r>
  </w:p>
  <w:p w14:paraId="7E35AA5E" w14:textId="30585CE7" w:rsidR="00F843B9" w:rsidRPr="00FD5ADE" w:rsidRDefault="00602497" w:rsidP="00CC5F9D">
    <w:pPr>
      <w:pStyle w:val="Header"/>
    </w:pPr>
    <w:r>
      <w:fldChar w:fldCharType="begin"/>
    </w:r>
    <w:r>
      <w:instrText xml:space="preserve"> STYLEREF  "Heading 2 FAM"  \* MERGEFORMAT </w:instrText>
    </w:r>
    <w:r>
      <w:fldChar w:fldCharType="separate"/>
    </w:r>
    <w:r>
      <w:rPr>
        <w:noProof/>
      </w:rPr>
      <w:t>395 G – Specific Control Evaluation Worksheet</w:t>
    </w:r>
    <w:r>
      <w:rPr>
        <w:noProof/>
      </w:rPr>
      <w:fldChar w:fldCharType="end"/>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EE714" w14:textId="77777777" w:rsidR="00F843B9" w:rsidRPr="00784B03" w:rsidRDefault="00F843B9" w:rsidP="00B71C82">
    <w:pPr>
      <w:pStyle w:val="Header"/>
      <w:spacing w:before="0"/>
    </w:pPr>
    <w:r w:rsidRPr="00784B03">
      <w:t>Internal Control Phase</w:t>
    </w:r>
  </w:p>
  <w:p w14:paraId="0BB3D557" w14:textId="6DE12ECB" w:rsidR="00F843B9" w:rsidRPr="00FD5ADE" w:rsidRDefault="00602497" w:rsidP="00B71C82">
    <w:pPr>
      <w:pStyle w:val="Header"/>
      <w:spacing w:before="0"/>
    </w:pPr>
    <w:r>
      <w:fldChar w:fldCharType="begin"/>
    </w:r>
    <w:r>
      <w:instrText xml:space="preserve"> STYLEREF  "Heading 2 FAM"  \* MERGEFORMAT </w:instrText>
    </w:r>
    <w:r>
      <w:fldChar w:fldCharType="separate"/>
    </w:r>
    <w:r>
      <w:rPr>
        <w:noProof/>
      </w:rPr>
      <w:t>395 G – Specific Control Evaluation Worksheet</w:t>
    </w:r>
    <w:r>
      <w:rPr>
        <w:noProof/>
      </w:rPr>
      <w:fldChar w:fldCharType="end"/>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FC49D" w14:textId="77777777" w:rsidR="00F843B9" w:rsidRDefault="00F843B9" w:rsidP="008B6636">
    <w:r>
      <w:rPr>
        <w:noProof/>
      </w:rPr>
      <mc:AlternateContent>
        <mc:Choice Requires="wps">
          <w:drawing>
            <wp:anchor distT="0" distB="0" distL="114300" distR="114300" simplePos="0" relativeHeight="251679232" behindDoc="1" locked="1" layoutInCell="1" allowOverlap="1" wp14:anchorId="5585BA5A" wp14:editId="064AEA43">
              <wp:simplePos x="0" y="0"/>
              <wp:positionH relativeFrom="page">
                <wp:posOffset>1384935</wp:posOffset>
              </wp:positionH>
              <wp:positionV relativeFrom="paragraph">
                <wp:posOffset>-35560</wp:posOffset>
              </wp:positionV>
              <wp:extent cx="5486400" cy="12065"/>
              <wp:effectExtent l="3810" t="2540" r="0" b="4445"/>
              <wp:wrapNone/>
              <wp:docPr id="6"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F22429" id="Rectangle 70" o:spid="_x0000_s1026" style="position:absolute;margin-left:109.05pt;margin-top:-2.8pt;width:6in;height:.95pt;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HzcgIAAPgEAAAOAAAAZHJzL2Uyb0RvYy54bWysVNuO2yAQfa/Uf0C8J7Yj52Irzmo3aapK&#10;abvqth9AAMeoGCiQONtV/70DTrLZ9mVVNQ+E8QyHM2dmmN8cW4kO3DqhVYWzYYoRV1QzoXYV/vZ1&#10;PZhh5DxRjEiteIUfucM3i7dv5p0p+Ug3WjJuEYAoV3amwo33pkwSRxveEjfUhitw1tq2xINpdwmz&#10;pAP0ViajNJ0knbbMWE25c/B11TvxIuLXNaf+c1077pGsMHDzcbVx3YY1WcxJubPENIKeaJB/YNES&#10;oeDSC9SKeIL2VvwF1QpqtdO1H1LdJrquBeUxB8gmS//I5qEhhsdcQBxnLjK5/wdLPx3uLRKswhOM&#10;FGmhRF9ANKJ2kqNp1KczroSwB3NvQ4bObDT97pDSywbC+K21ums4YcAqC3omLw4Ew8FRtO0+agbw&#10;ZO91lOpY2zYAggjoGCvyeKkIP3pE4eM4n03yFApHwZeN0sk43kDK82FjnX/PdYvCpsIWuEdwctg4&#10;H8iQ8hwSyWsp2FpIGQ272y6lRQcSmiP+TujuOkyqEKx0ONYj9l+AI9wRfIFtLPZTkY3y9G5UDNaT&#10;2XSQr/PxoJims0GaFXfFJM2LfLX+FQhmedkIxrjaCMXPjZflryvsaQT6lomth7ogXUzqmrp7XYat&#10;8DCEUrQVnl1kIGUo6jvF4oh4ImS/T15yjxKDAOf/KElsgVD1MIeu3Gr2CB1gNVQIagnPBWwabX9i&#10;1MHoVdj92BPLMZIfFHRRkeV5mNVo5OPpCAx77dlee4iiAFVhj1G/Xfp+vvfGil0DN2VRGKVvofNq&#10;EbvimdWpX2G8YganpyDM77Udo54frMVvAAAA//8DAFBLAwQUAAYACAAAACEAMetL5twAAAAKAQAA&#10;DwAAAGRycy9kb3ducmV2LnhtbEyPTU+EMBCG7yb+h2ZMvO22gIsEKRs18Wqy6MVboSMQ6RRpdxf/&#10;vbMnPc47T96Par+6SZxwCaMnDclWgUDqvB2p1/D+9rIpQIRoyJrJE2r4wQD7+vqqMqX1ZzrgqYm9&#10;YBMKpdEwxDiXUoZuQGfC1s9I/Pv0izORz6WXdjFnNneTTJXKpTMjccJgZnwesPtqjo5zP7JGzcX3&#10;U0/u9e7Q5nPW5jutb2/WxwcQEdf4B8OlPleHmju1/kg2iElDmhQJoxo2uxzEBVBFykrLSnYPsq7k&#10;/wn1LwAAAP//AwBQSwECLQAUAAYACAAAACEAtoM4kv4AAADhAQAAEwAAAAAAAAAAAAAAAAAAAAAA&#10;W0NvbnRlbnRfVHlwZXNdLnhtbFBLAQItABQABgAIAAAAIQA4/SH/1gAAAJQBAAALAAAAAAAAAAAA&#10;AAAAAC8BAABfcmVscy8ucmVsc1BLAQItABQABgAIAAAAIQBmR+HzcgIAAPgEAAAOAAAAAAAAAAAA&#10;AAAAAC4CAABkcnMvZTJvRG9jLnhtbFBLAQItABQABgAIAAAAIQAx60vm3AAAAAoBAAAPAAAAAAAA&#10;AAAAAAAAAMwEAABkcnMvZG93bnJldi54bWxQSwUGAAAAAAQABADzAAAA1QUAAAAA&#10;" fillcolor="black" stroked="f" strokeweight="0">
              <w10:wrap anchorx="page"/>
              <w10:anchorlock/>
            </v:rect>
          </w:pict>
        </mc:Fallback>
      </mc:AlternateContent>
    </w:r>
  </w:p>
  <w:p w14:paraId="6806727B" w14:textId="77777777" w:rsidR="00F843B9" w:rsidRDefault="00F843B9" w:rsidP="008B6636">
    <w:r>
      <w:t>Internal Control Phase</w:t>
    </w:r>
  </w:p>
  <w:p w14:paraId="5A62C268" w14:textId="77777777" w:rsidR="00F843B9" w:rsidRDefault="00F843B9" w:rsidP="008B6636">
    <w:r>
      <w:t>395 I - Account Risk Analysis Form</w:t>
    </w:r>
  </w:p>
  <w:p w14:paraId="19C8F4F0" w14:textId="77777777" w:rsidR="00F843B9" w:rsidRDefault="00F843B9" w:rsidP="008B6636">
    <w:r>
      <w:rPr>
        <w:noProof/>
      </w:rPr>
      <mc:AlternateContent>
        <mc:Choice Requires="wps">
          <w:drawing>
            <wp:anchor distT="0" distB="0" distL="114300" distR="114300" simplePos="0" relativeHeight="251681280" behindDoc="1" locked="1" layoutInCell="1" allowOverlap="1" wp14:anchorId="0309BE79" wp14:editId="27DCC8ED">
              <wp:simplePos x="0" y="0"/>
              <wp:positionH relativeFrom="page">
                <wp:posOffset>1384935</wp:posOffset>
              </wp:positionH>
              <wp:positionV relativeFrom="paragraph">
                <wp:posOffset>-23495</wp:posOffset>
              </wp:positionV>
              <wp:extent cx="5486400" cy="12065"/>
              <wp:effectExtent l="3810" t="0" r="0" b="1905"/>
              <wp:wrapNone/>
              <wp:docPr id="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E47ADE" id="Rectangle 71" o:spid="_x0000_s1026" style="position:absolute;margin-left:109.05pt;margin-top:-1.85pt;width:6in;height:.95pt;z-index:-251635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pCvcgIAAPgEAAAOAAAAZHJzL2Uyb0RvYy54bWysVNuO2jAQfa/Uf7D8DklQuCQirHahVJVo&#10;u+q2H2Bsh1h1bNc2BFr13zt2gLLty6oqD8aTGR+fOTPj+d2xlejArRNaVTgbphhxRTUTalfhL5/X&#10;gxlGzhPFiNSKV/jEHb5bvH4170zJR7rRknGLAES5sjMVbrw3ZZI42vCWuKE2XIGz1rYlHky7S5gl&#10;HaC3Mhml6STptGXGasqdg6+r3okXEb+uOfUf69pxj2SFgZuPq43rNqzJYk7KnSWmEfRMg/wDi5YI&#10;BZdeoVbEE7S34i+oVlCrna79kOo20XUtKI85QDZZ+kc2Tw0xPOYC4jhzlcn9P1j64fBokWAVHmOk&#10;SAsl+gSiEbWTHE2zoE9nXAlhT+bRhgyd2Wj61SGllw2E8XtrdddwwoBVjE+eHQiGg6No273XDODJ&#10;3uso1bG2bQAEEdAxVuR0rQg/ekTh4zifTfIUCkfBl43SyTgwSkh5OWys82+5blHYVNgC9whODhvn&#10;+9BLSCSvpWBrIWU07G67lBYdSGiO+Duju9swqUKw0uFYj9h/AY5wR/AFtrHYP4pslKcPo2Kwnsym&#10;g3ydjwfFNJ0N0qx4KCZpXuSr9c9AMMvLRjDG1UYofmm8LH9ZYc8j0LdMbD3UBeliUrfU3csybIWH&#10;IZSirfDsKgMpQ1HfKAY5k9ITIft98px7rAYIcPmPksQWCFXvu2er2Qk6wGqoENQSngvYNNp+x6iD&#10;0auw+7YnlmMk3ynooiLL8zCr0cjH0xEY9tazvfUQRQGqwh6jfrv0/XzvjRW7Bm7KojBK30Pn1SJ2&#10;RejKnhXwDgaMV8zg/BSE+b21Y9TvB2vxCwAA//8DAFBLAwQUAAYACAAAACEAohw6dNwAAAAKAQAA&#10;DwAAAGRycy9kb3ducmV2LnhtbEyPPU/DMBCGdyT+g3VIbK2dBIIV4lSAxIrUlIXNiU0SEZ9N7Lbh&#10;33OdYLz3Hr0f9W51MzvZJU4eFWRbAcxi782Eg4L3w+tGAotJo9GzR6vgx0bYNddXta6MP+Pento0&#10;MDLBWGkFY0qh4jz2o3U6bn2wSL9Pvzid6FwGbhZ9JnM381yIkjs9ISWMOtiX0fZf7dFR7kfRiiC/&#10;nwd0b3f7rgxFV94rdXuzPj0CS3ZNfzBc6lN1aKhT549oIpsV5JnMCFWwKR6AXQAhc1I6UjIJvKn5&#10;/wnNLwAAAP//AwBQSwECLQAUAAYACAAAACEAtoM4kv4AAADhAQAAEwAAAAAAAAAAAAAAAAAAAAAA&#10;W0NvbnRlbnRfVHlwZXNdLnhtbFBLAQItABQABgAIAAAAIQA4/SH/1gAAAJQBAAALAAAAAAAAAAAA&#10;AAAAAC8BAABfcmVscy8ucmVsc1BLAQItABQABgAIAAAAIQBcqpCvcgIAAPgEAAAOAAAAAAAAAAAA&#10;AAAAAC4CAABkcnMvZTJvRG9jLnhtbFBLAQItABQABgAIAAAAIQCiHDp03AAAAAoBAAAPAAAAAAAA&#10;AAAAAAAAAMwEAABkcnMvZG93bnJldi54bWxQSwUGAAAAAAQABADzAAAA1QUAAAAA&#10;" fillcolor="black" stroked="f" strokeweight="0">
              <w10:wrap anchorx="page"/>
              <w10:anchorlock/>
            </v:rect>
          </w:pict>
        </mc:Fallback>
      </mc:AlternateContent>
    </w:r>
  </w:p>
  <w:p w14:paraId="4D6956E8" w14:textId="77777777" w:rsidR="00F843B9" w:rsidRDefault="00F843B9" w:rsidP="008B6636"/>
  <w:p w14:paraId="5D37D334" w14:textId="77777777" w:rsidR="00F843B9" w:rsidRDefault="00F843B9" w:rsidP="008B6636"/>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90B39" w14:textId="77777777" w:rsidR="00F843B9" w:rsidRPr="00784B03" w:rsidRDefault="00F843B9" w:rsidP="00CC5F9D">
    <w:pPr>
      <w:pStyle w:val="Header"/>
    </w:pPr>
    <w:r w:rsidRPr="00784B03">
      <w:t>Internal Control Phase</w:t>
    </w:r>
  </w:p>
  <w:p w14:paraId="25507814" w14:textId="77777777" w:rsidR="00F843B9" w:rsidRPr="00784B03" w:rsidRDefault="00F843B9" w:rsidP="00666BFE">
    <w:pPr>
      <w:pStyle w:val="Header"/>
      <w:spacing w:before="0"/>
    </w:pPr>
    <w:r>
      <w:t>395 H</w:t>
    </w:r>
    <w:r w:rsidRPr="00784B03">
      <w:t xml:space="preserve"> </w:t>
    </w:r>
    <w:r>
      <w:t>-</w:t>
    </w:r>
    <w:r w:rsidRPr="00784B03">
      <w:t xml:space="preserve"> Line Item Risk Analysis Form</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27083" w14:textId="77777777" w:rsidR="00F843B9" w:rsidRDefault="00F843B9" w:rsidP="008B6636">
    <w:r>
      <w:rPr>
        <w:noProof/>
      </w:rPr>
      <mc:AlternateContent>
        <mc:Choice Requires="wps">
          <w:drawing>
            <wp:anchor distT="0" distB="0" distL="114300" distR="114300" simplePos="0" relativeHeight="251680256" behindDoc="1" locked="1" layoutInCell="0" allowOverlap="1" wp14:anchorId="0E3A52FC" wp14:editId="6E8E4D9C">
              <wp:simplePos x="0" y="0"/>
              <wp:positionH relativeFrom="page">
                <wp:posOffset>685800</wp:posOffset>
              </wp:positionH>
              <wp:positionV relativeFrom="paragraph">
                <wp:posOffset>0</wp:posOffset>
              </wp:positionV>
              <wp:extent cx="8458200" cy="12065"/>
              <wp:effectExtent l="0" t="0" r="0" b="0"/>
              <wp:wrapNone/>
              <wp:docPr id="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582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563191" id="Rectangle 73" o:spid="_x0000_s1026" style="position:absolute;margin-left:54pt;margin-top:0;width:666pt;height:.95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svWcwIAAPgEAAAOAAAAZHJzL2Uyb0RvYy54bWysVNuO0zAQfUfiHyy/t0m66SVR09VuSxHS&#10;AisWPsC1ncbCsY3tNi2If2fstKULLytEH1xPZjw+c+aM57eHVqI9t05oVeFsmGLEFdVMqG2Fv3xe&#10;D2YYOU8UI1IrXuEjd/h28frVvDMlH+lGS8YtgiTKlZ2pcOO9KZPE0Ya3xA214QqctbYt8WDabcIs&#10;6SB7K5NRmk6STltmrKbcOfi66p14EfPXNaf+Y1077pGsMGDzcbVx3YQ1WcxJubXENIKeYJB/QNES&#10;oeDSS6oV8QTtrPgrVSuo1U7Xfkh1m+i6FpTHGqCaLP2jmqeGGB5rAXKcudDk/l9a+mH/aJFgFb7B&#10;SJEWWvQJSCNqKzma3gR+OuNKCHsyjzZU6MyDpl8dUnrZQBi/s1Z3DScMUGUhPnl2IBgOjqJN914z&#10;SE92XkeqDrVtQ0IgAR1iR46XjvCDRxQ+zvLxDNqMEQVfNkon43gDKc+HjXX+LdctCpsKW8Aek5P9&#10;g/MBDCnPIRG8loKthZTRsNvNUlq0J0Ec8XfK7q7DpArBSodjfcb+C2CEO4IvoI3N/lFkozy9HxWD&#10;9WQ2HeTrfDwopulskGbFfTFJ8yJfrX8GgFleNoIxrh6E4mfhZfnLGnsagV4yUXqoC9TFoq6hu5dV&#10;2AoPQyhFC4RfaCBlaOobxaBmUnoiZL9PnmOPFAMB5/9ISZRA6Hqvno1mR1CA1dAh6CU8F7BptP2O&#10;UQejV2H3bUcsx0i+U6CiIsvzMKvRyMfTERj22rO59hBFIVWFPUb9dun7+d4ZK7YN3JRFYpS+A+XV&#10;IqoiqLJHddIrjFes4PQUhPm9tmPU7wdr8QsAAP//AwBQSwMEFAAGAAgAAAAhAK1v2cXZAAAABwEA&#10;AA8AAABkcnMvZG93bnJldi54bWxMj0FPwzAMhe9I/IfISNxYAitV6ZpOgMQVaR0Xbmlj2mqNE5ps&#10;K/8e7wQX61nPeu9ztV3cJE44x9GThvuVAoHUeTtSr+Fj/3ZXgIjJkDWTJ9TwgxG29fVVZUrrz7TD&#10;U5N6wSEUS6NhSCmUUsZuQGfiygck9r787Ezide6lnc2Zw90kH5TKpTMjccNgAr4O2B2ao+Pez3Wj&#10;QvH90pN7z3ZtHtZt/qj17c3yvAGRcEl/x3DBZ3Soman1R7JRTLyrgn9JGnhe7CxTrFpWTyDrSv7n&#10;r38BAAD//wMAUEsBAi0AFAAGAAgAAAAhALaDOJL+AAAA4QEAABMAAAAAAAAAAAAAAAAAAAAAAFtD&#10;b250ZW50X1R5cGVzXS54bWxQSwECLQAUAAYACAAAACEAOP0h/9YAAACUAQAACwAAAAAAAAAAAAAA&#10;AAAvAQAAX3JlbHMvLnJlbHNQSwECLQAUAAYACAAAACEALKLL1nMCAAD4BAAADgAAAAAAAAAAAAAA&#10;AAAuAgAAZHJzL2Uyb0RvYy54bWxQSwECLQAUAAYACAAAACEArW/ZxdkAAAAHAQAADwAAAAAAAAAA&#10;AAAAAADNBAAAZHJzL2Rvd25yZXYueG1sUEsFBgAAAAAEAAQA8wAAANMFAAAAAA==&#10;" o:allowincell="f" fillcolor="black" stroked="f" strokeweight="0">
              <w10:wrap anchorx="page"/>
              <w10:anchorlock/>
            </v:rect>
          </w:pict>
        </mc:Fallback>
      </mc:AlternateContent>
    </w:r>
  </w:p>
  <w:p w14:paraId="1343188D" w14:textId="77777777" w:rsidR="00F843B9" w:rsidRDefault="00F843B9" w:rsidP="008B6636">
    <w:r>
      <w:t>Internal Control Phase</w:t>
    </w:r>
  </w:p>
  <w:p w14:paraId="10118D3A" w14:textId="77777777" w:rsidR="00F843B9" w:rsidRDefault="00F843B9" w:rsidP="008B6636">
    <w:r>
      <w:t>395 I - Account Risk Analysis Form</w:t>
    </w:r>
  </w:p>
  <w:p w14:paraId="0C639FCC" w14:textId="77777777" w:rsidR="00F843B9" w:rsidRDefault="00F843B9" w:rsidP="008B6636">
    <w:r>
      <w:rPr>
        <w:noProof/>
      </w:rPr>
      <mc:AlternateContent>
        <mc:Choice Requires="wps">
          <w:drawing>
            <wp:anchor distT="0" distB="0" distL="114300" distR="114300" simplePos="0" relativeHeight="251682304" behindDoc="1" locked="1" layoutInCell="0" allowOverlap="1" wp14:anchorId="64443F1F" wp14:editId="2936865E">
              <wp:simplePos x="0" y="0"/>
              <wp:positionH relativeFrom="page">
                <wp:posOffset>685800</wp:posOffset>
              </wp:positionH>
              <wp:positionV relativeFrom="paragraph">
                <wp:posOffset>0</wp:posOffset>
              </wp:positionV>
              <wp:extent cx="8458200" cy="12065"/>
              <wp:effectExtent l="0" t="0" r="0" b="0"/>
              <wp:wrapNone/>
              <wp:docPr id="2"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582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935782" id="Rectangle 74" o:spid="_x0000_s1026" style="position:absolute;margin-left:54pt;margin-top:0;width:666pt;height:.95pt;z-index:-251634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acecwIAAPgEAAAOAAAAZHJzL2Uyb0RvYy54bWysVNuO0zAQfUfiHyy/d3NReknUdLXbpQhp&#10;gRULH+DaTmLh2MZ2my6If2fstKULLytEH1xPZjw+c+aMl9eHXqI9t05oVePsKsWIK6qZUG2Nv3ze&#10;TBYYOU8UI1IrXuMn7vD16vWr5WAqnutOS8YtgiTKVYOpcee9qZLE0Y73xF1pwxU4G2174sG0bcIs&#10;GSB7L5M8TWfJoC0zVlPuHHy9G514FfM3Daf+Y9M47pGsMWDzcbVx3YY1WS1J1VpiOkGPMMg/oOiJ&#10;UHDpOdUd8QTtrPgrVS+o1U43/orqPtFNIyiPNUA1WfpHNY8dMTzWAuQ4c6bJ/b+09MP+wSLBapxj&#10;pEgPLfoEpBHVSo7mReBnMK6CsEfzYEOFztxr+tUhpdcdhPEba/XQccIAVRbik2cHguHgKNoO7zWD&#10;9GTndaTq0Ng+JAQS0CF25OncEX7wiMLHRTFdQJsxouDL8nQ2jTeQ6nTYWOffct2jsKmxBewxOdnf&#10;Ox/AkOoUEsFrKdhGSBkN227X0qI9CeKIv2N2dxkmVQhWOhwbM45fACPcEXwBbWz2jzLLi/Q2Lyeb&#10;2WI+KTbFdFLO08UkzcrbcpYWZXG3+RkAZkXVCca4uheKn4SXFS9r7HEERslE6aEhUBeLuoTuXlZh&#10;LzwMoRQ9EH6mgVShqW8Ug5pJ5YmQ4z55jj1SDASc/iMlUQKh66N6tpo9gQKshg5BL+G5gE2n7XeM&#10;Bhi9GrtvO2I5RvKdAhWVWVGEWY1GMZ3nYNhLz/bSQxSFVDX2GI3btR/ne2esaDu4KYvEKH0DymtE&#10;VEVQ5YjqqFcYr1jB8SkI83tpx6jfD9bqFwAAAP//AwBQSwMEFAAGAAgAAAAhAK1v2cXZAAAABwEA&#10;AA8AAABkcnMvZG93bnJldi54bWxMj0FPwzAMhe9I/IfISNxYAitV6ZpOgMQVaR0Xbmlj2mqNE5ps&#10;K/8e7wQX61nPeu9ztV3cJE44x9GThvuVAoHUeTtSr+Fj/3ZXgIjJkDWTJ9TwgxG29fVVZUrrz7TD&#10;U5N6wSEUS6NhSCmUUsZuQGfiygck9r787Ezide6lnc2Zw90kH5TKpTMjccNgAr4O2B2ao+Pez3Wj&#10;QvH90pN7z3ZtHtZt/qj17c3yvAGRcEl/x3DBZ3Soman1R7JRTLyrgn9JGnhe7CxTrFpWTyDrSv7n&#10;r38BAAD//wMAUEsBAi0AFAAGAAgAAAAhALaDOJL+AAAA4QEAABMAAAAAAAAAAAAAAAAAAAAAAFtD&#10;b250ZW50X1R5cGVzXS54bWxQSwECLQAUAAYACAAAACEAOP0h/9YAAACUAQAACwAAAAAAAAAAAAAA&#10;AAAvAQAAX3JlbHMvLnJlbHNQSwECLQAUAAYACAAAACEADB2nHnMCAAD4BAAADgAAAAAAAAAAAAAA&#10;AAAuAgAAZHJzL2Uyb0RvYy54bWxQSwECLQAUAAYACAAAACEArW/ZxdkAAAAHAQAADwAAAAAAAAAA&#10;AAAAAADNBAAAZHJzL2Rvd25yZXYueG1sUEsFBgAAAAAEAAQA8wAAANMFAAAAAA==&#10;" o:allowincell="f" fillcolor="black" stroked="f" strokeweight="0">
              <w10:wrap anchorx="page"/>
              <w10:anchorlock/>
            </v:rect>
          </w:pict>
        </mc:Fallback>
      </mc:AlternateContent>
    </w:r>
  </w:p>
  <w:p w14:paraId="64F611A6" w14:textId="77777777" w:rsidR="00F843B9" w:rsidRDefault="00F843B9" w:rsidP="008B6636"/>
  <w:p w14:paraId="4F100484" w14:textId="77777777" w:rsidR="00F843B9" w:rsidRDefault="00F843B9" w:rsidP="00CC5F9D">
    <w:pPr>
      <w:pStyle w:val="Header"/>
    </w:pPr>
  </w:p>
  <w:p w14:paraId="1CFBE2BE" w14:textId="77777777" w:rsidR="00F843B9" w:rsidRDefault="00F843B9"/>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47F11" w14:textId="77777777" w:rsidR="00F843B9" w:rsidRPr="00784B03" w:rsidRDefault="00F843B9" w:rsidP="00B71C82">
    <w:pPr>
      <w:pStyle w:val="Header"/>
      <w:spacing w:before="0"/>
    </w:pPr>
    <w:r w:rsidRPr="00784B03">
      <w:t>Internal Control Phase</w:t>
    </w:r>
  </w:p>
  <w:p w14:paraId="1A6B76CF" w14:textId="77777777" w:rsidR="00F843B9" w:rsidRPr="00784B03" w:rsidRDefault="00F843B9" w:rsidP="00B71C82">
    <w:pPr>
      <w:pStyle w:val="Header"/>
      <w:spacing w:before="0"/>
    </w:pPr>
    <w:r>
      <w:t>395 H</w:t>
    </w:r>
    <w:r w:rsidRPr="00784B03">
      <w:t xml:space="preserve"> – Line Item Risk Analysis Form</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3C93F" w14:textId="77777777" w:rsidR="00F843B9" w:rsidRPr="00CC5F9D" w:rsidRDefault="00F843B9" w:rsidP="00666BFE">
    <w:pPr>
      <w:pStyle w:val="Header"/>
      <w:spacing w:before="0"/>
    </w:pPr>
    <w:r w:rsidRPr="00CC5F9D">
      <w:t>Internal Control Phase</w:t>
    </w:r>
    <w:r w:rsidRPr="00CC5F9D">
      <w:br/>
      <w:t>300 – Contents of the Internal Control Phase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858BD" w14:textId="77777777" w:rsidR="00F843B9" w:rsidRDefault="00F843B9" w:rsidP="008B6636">
    <w:pPr>
      <w:rPr>
        <w:sz w:val="32"/>
        <w:szCs w:val="32"/>
      </w:rPr>
    </w:pPr>
    <w:r>
      <w:rPr>
        <w:noProof/>
      </w:rPr>
      <mc:AlternateContent>
        <mc:Choice Requires="wps">
          <w:drawing>
            <wp:anchor distT="0" distB="0" distL="114300" distR="114300" simplePos="0" relativeHeight="251633152" behindDoc="1" locked="1" layoutInCell="0" allowOverlap="1" wp14:anchorId="377DF8D6" wp14:editId="76BFFDBC">
              <wp:simplePos x="0" y="0"/>
              <wp:positionH relativeFrom="page">
                <wp:posOffset>1600200</wp:posOffset>
              </wp:positionH>
              <wp:positionV relativeFrom="paragraph">
                <wp:posOffset>0</wp:posOffset>
              </wp:positionV>
              <wp:extent cx="5486400" cy="12065"/>
              <wp:effectExtent l="0" t="0" r="0" b="0"/>
              <wp:wrapNone/>
              <wp:docPr id="48"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EDBD9" id="Rectangle 19" o:spid="_x0000_s1026" style="position:absolute;margin-left:126pt;margin-top:0;width:6in;height:.95pt;z-index:-251683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HlCdAIAAPkEAAAOAAAAZHJzL2Uyb0RvYy54bWysVFFv0zAQfkfiP1h+75JUbtdETaetpQhp&#10;wMTgB7i201g4trHdpgPx3zk7bengZUL0wfXlzufvvvvO85tDp9BeOC+NrnFxlWMkNDNc6m2Nv3xe&#10;j2YY+UA1p8poUeMn4fHN4vWreW8rMTatUVw4BEm0r3pb4zYEW2WZZ63oqL8yVmhwNsZ1NIDpthl3&#10;tIfsncrGeT7NeuO4dYYJ7+HranDiRcrfNIKFj03jRUCqxoAtpNWldRPXbDGn1dZR20p2hEH/AUVH&#10;pYZLz6lWNFC0c/KvVJ1kznjThCtmusw0jWQi1QDVFPkf1Ty21IpUC5Dj7Zkm///Ssg/7B4ckrzGB&#10;TmnaQY8+AWtUb5VARRkJ6q2vIO7RPrhYorf3hn31SJtlC2Hi1jnTt4JygFXE+OzZgWh4OIo2/XvD&#10;IT3dBZO4OjSuiwmBBXRILXk6t0QcAmLwcUJmU5JD5xj4inE+naQbaHU6bJ0Pb4XpUNzU2AH2lJzu&#10;732IYGh1CkngjZJ8LZVKhttulsqhPY3qSL9jdn8ZpnQM1iYeGzIOXwAj3BF9EW3q9o+yGJP8blyO&#10;1tPZ9YisyWRUXuezUV6Ud+U0JyVZrX9GgAWpWsm50PdSi5PyCvKyzh5nYNBM0h7qI3WpqEvo/mUV&#10;djLAFCrZ1Xh2poFWsalvNIeaaRWoVMM+e449UQwEnP4TJUkCseuDejaGP4ECnIEOQS/hvYBNa9x3&#10;jHqYvRr7bzvqBEbqnQYVlQUhcViTQSbXYzDcpWdz6aGaQaoaB4yG7TIMA76zTm5buKlIxGhzC8pr&#10;ZFJFVOWA6qhXmK9UwfEtiAN8aaeo3y/W4hc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4wx5Qn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10614B77" w14:textId="77777777" w:rsidR="00F843B9" w:rsidRDefault="00F843B9" w:rsidP="008B6636">
    <w:r>
      <w:tab/>
    </w:r>
    <w:r>
      <w:tab/>
      <w:t>Internal Control Phase</w:t>
    </w:r>
  </w:p>
  <w:p w14:paraId="7F98D0FE" w14:textId="77777777" w:rsidR="00F843B9" w:rsidRDefault="00F843B9" w:rsidP="008B6636">
    <w:r>
      <w:tab/>
    </w:r>
  </w:p>
  <w:p w14:paraId="2496AC64" w14:textId="77777777" w:rsidR="00F843B9" w:rsidRDefault="00F843B9" w:rsidP="008B6636">
    <w:pPr>
      <w:rPr>
        <w:sz w:val="32"/>
        <w:szCs w:val="32"/>
      </w:rPr>
    </w:pPr>
    <w:r>
      <w:rPr>
        <w:noProof/>
      </w:rPr>
      <mc:AlternateContent>
        <mc:Choice Requires="wps">
          <w:drawing>
            <wp:anchor distT="0" distB="0" distL="114300" distR="114300" simplePos="0" relativeHeight="251634176" behindDoc="1" locked="1" layoutInCell="0" allowOverlap="1" wp14:anchorId="3E7606E3" wp14:editId="50F31A64">
              <wp:simplePos x="0" y="0"/>
              <wp:positionH relativeFrom="page">
                <wp:posOffset>1600200</wp:posOffset>
              </wp:positionH>
              <wp:positionV relativeFrom="paragraph">
                <wp:posOffset>0</wp:posOffset>
              </wp:positionV>
              <wp:extent cx="5486400" cy="12065"/>
              <wp:effectExtent l="0" t="0" r="0" b="0"/>
              <wp:wrapNone/>
              <wp:docPr id="4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B4F3DD" id="Rectangle 20" o:spid="_x0000_s1026" style="position:absolute;margin-left:126pt;margin-top:0;width:6in;height:.95pt;z-index:-251682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scgIAAPkEAAAOAAAAZHJzL2Uyb0RvYy54bWysVNuO2yAQfa/Uf0C8Z21H5GIrzmovTVVp&#10;26667QcQwDEqBgokznbVf++Ak2y2fVlV9QMGZjicOTPD4nLfKbQTzkuja1xc5BgJzQyXelPjb19X&#10;ozlGPlDNqTJa1PhReHy5fPtm0dtKjE1rFBcOAYj2VW9r3IZgqyzzrBUd9RfGCg3GxriOBli6TcYd&#10;7QG9U9k4z6dZbxy3zjDhPezeDka8TPhNI1j43DReBKRqDNxCGl0a13HMlgtabRy1rWQHGvQfWHRU&#10;arj0BHVLA0VbJ/+C6iRzxpsmXDDTZaZpJBMpBoimyP+I5qGlVqRYQBxvTzL5/wfLPu3uHZK8xmSG&#10;kaYd5OgLqEb1Rgk0TgL11lfg92DvXQzR2zvDvnukzU0LbuLKOdO3gnKgVURBsxcH4sLDUbTuPxoO&#10;8HQbTNJq37guAoIKaJ9S8nhKidgHxGBzQuZTkkPmGNiKcT6dpBtodTxsnQ/vhelQnNTYAfcETnd3&#10;PkQytDq6JPJGSb6SSqWF26xvlEM7GqsjfQd0f+6mdHTWJh4bEIcd4Ah3RFtkm7L9VBZjkl+Py9Fq&#10;Op+NyIpMRuUsn4/yorwupzkpye3qVyRYkKqVnAt9J7U4Vl5BXpfZQw8MNZNqD/VRuhTUOXX/ugg7&#10;GaALlexqPD/JQKuY1Heapx4JVKphnr3kniQGAY7/JEkqgZj12Ii+Whv+CBXgDGQIcgnvBUxa435i&#10;1EPv1dj/2FInMFIfNFRRWRASmzUtyGQGZYjcuWV9bqGaAVSNA0bD9CYMDb61Tm5auKlIwmhzBZXX&#10;yFQVz6wO9Qr9lSI4vAWxgc/Xyev5xVr+BgAA//8DAFBLAwQUAAYACAAAACEAZHfjLNsAAAAHAQAA&#10;DwAAAGRycy9kb3ducmV2LnhtbEyPQU/DMAyF70j7D5EncWNpu60apekESFwnrePCLW1MW9E4ocm2&#10;8u/xTnCxnvWs9z6X+9mO4oJTGBwpSFcJCKTWmYE6Be+nt4cdiBA1GT06QgU/GGBfLe5KXRh3pSNe&#10;6tgJDqFQaAV9jL6QMrQ9Wh1WziOx9+kmqyOvUyfNpK8cbkeZJUkurR6IG3rt8bXH9qs+W+79WNeJ&#10;332/dGQPm2OT+3WTb5W6X87PTyAizvHvGG74jA4VMzXuTCaIUUG2zfiXqIDnzU7TnFXD6hFkVcr/&#10;/NUvAAAA//8DAFBLAQItABQABgAIAAAAIQC2gziS/gAAAOEBAAATAAAAAAAAAAAAAAAAAAAAAABb&#10;Q29udGVudF9UeXBlc10ueG1sUEsBAi0AFAAGAAgAAAAhADj9If/WAAAAlAEAAAsAAAAAAAAAAAAA&#10;AAAALwEAAF9yZWxzLy5yZWxzUEsBAi0AFAAGAAgAAAAhAH/+TKxyAgAA+QQAAA4AAAAAAAAAAAAA&#10;AAAALgIAAGRycy9lMm9Eb2MueG1sUEsBAi0AFAAGAAgAAAAhAGR34yzbAAAABwEAAA8AAAAAAAAA&#10;AAAAAAAAzAQAAGRycy9kb3ducmV2LnhtbFBLBQYAAAAABAAEAPMAAADUBQAAAAA=&#10;" o:allowincell="f" fillcolor="black" stroked="f" strokeweight="0">
              <w10:wrap anchorx="page"/>
              <w10:anchorlock/>
            </v:rect>
          </w:pict>
        </mc:Fallback>
      </mc:AlternateContent>
    </w:r>
  </w:p>
  <w:p w14:paraId="43604594" w14:textId="77777777" w:rsidR="00F843B9" w:rsidRDefault="00F843B9" w:rsidP="008B6636">
    <w:r>
      <w:tab/>
    </w:r>
    <w:r>
      <w:tab/>
      <w:t>310 -</w:t>
    </w:r>
    <w:r>
      <w:tab/>
      <w:t>OVERVIEW</w:t>
    </w:r>
  </w:p>
  <w:p w14:paraId="5F5A2305" w14:textId="77777777" w:rsidR="00F843B9" w:rsidRDefault="00F843B9" w:rsidP="008B6636"/>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1FE9D" w14:textId="77777777" w:rsidR="00F843B9" w:rsidRPr="00D20FD5" w:rsidRDefault="00F843B9" w:rsidP="00666BFE">
    <w:pPr>
      <w:pStyle w:val="Header"/>
      <w:spacing w:before="0"/>
    </w:pPr>
    <w:r w:rsidRPr="00D20FD5">
      <w:t>Internal Control Phase</w:t>
    </w:r>
    <w:r>
      <w:br/>
    </w:r>
    <w:r w:rsidRPr="00D20FD5">
      <w:t>310 – Overview of the Internal Control Phase</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DA53" w14:textId="77777777" w:rsidR="00F843B9" w:rsidRDefault="00F843B9" w:rsidP="008B6636">
    <w:r>
      <w:rPr>
        <w:noProof/>
      </w:rPr>
      <mc:AlternateContent>
        <mc:Choice Requires="wps">
          <w:drawing>
            <wp:anchor distT="0" distB="0" distL="114300" distR="114300" simplePos="0" relativeHeight="251643392" behindDoc="1" locked="1" layoutInCell="1" allowOverlap="1" wp14:anchorId="04DE4F3F" wp14:editId="5F92E5BF">
              <wp:simplePos x="0" y="0"/>
              <wp:positionH relativeFrom="page">
                <wp:posOffset>1384935</wp:posOffset>
              </wp:positionH>
              <wp:positionV relativeFrom="paragraph">
                <wp:posOffset>-35560</wp:posOffset>
              </wp:positionV>
              <wp:extent cx="5486400" cy="12065"/>
              <wp:effectExtent l="3810" t="2540" r="0" b="4445"/>
              <wp:wrapNone/>
              <wp:docPr id="45"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E4176" id="Rectangle 29" o:spid="_x0000_s1026" style="position:absolute;margin-left:109.05pt;margin-top:-2.8pt;width:6in;height:.95pt;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ufdAIAAPk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zCZ&#10;YqRpDz36BKxRvVEClVUkaLC+hrhH++Biid7eG/bVI21uOwgT186ZoROUA6wixmfPDkTDw1G0Ht4b&#10;DunpNpjE1b51fUwILKB9asnTqSViHxCDj1Myn5EcOsfAV5T5bJpuoPXxsHU+vBWmR3HTYAfYU3K6&#10;u/chgqH1MSSBN0rylVQqGW6zvlUO7WhUR/odsvvzMKVjsDbx2Jhx/AIY4Y7oi2hTt39URUnym7Ka&#10;rGbzywlZkemkusznk7yobqpZTipyt/oZARak7iTnQt9LLY7KK8jLOnuYgVEzSXtoiNSlos6h+5dV&#10;2MsAU6hk3+D5iQZax6a+0RxqpnWgUo377Dn2RDEQcPxPlCQJxK6P6lkb/gQKcAY6BL2E9wI2nXHf&#10;MRpg9hrsv22pExipdxpUVBWExGFNBplelmC4c8/63EM1g1QNDhiN29swDvjWOrnp4KYiEaPNNSiv&#10;lUkVUZUjqoNeYb5SBYe3IA7wuZ2ifr9Yy18AAAD//wMAUEsDBBQABgAIAAAAIQAx60vm3AAAAAoB&#10;AAAPAAAAZHJzL2Rvd25yZXYueG1sTI9NT4QwEIbvJv6HZky87baAiwQpGzXxarLoxVuhIxDpFGl3&#10;F/+9syc9zjtP3o9qv7pJnHAJoycNyVaBQOq8HanX8P72silAhGjImskTavjBAPv6+qoypfVnOuCp&#10;ib1gEwql0TDEOJdShm5AZ8LWz0j8+/SLM5HPpZd2MWc2d5NMlcqlMyNxwmBmfB6w+2qOjnM/skbN&#10;xfdTT+717tDmc9bmO61vb9bHBxAR1/gHw6U+V4eaO7X+SDaISUOaFAmjGja7HMQFUEXKSstKdg+y&#10;ruT/CfUvAAAA//8DAFBLAQItABQABgAIAAAAIQC2gziS/gAAAOEBAAATAAAAAAAAAAAAAAAAAAAA&#10;AABbQ29udGVudF9UeXBlc10ueG1sUEsBAi0AFAAGAAgAAAAhADj9If/WAAAAlAEAAAsAAAAAAAAA&#10;AAAAAAAALwEAAF9yZWxzLy5yZWxzUEsBAi0AFAAGAAgAAAAhAH7cS590AgAA+QQAAA4AAAAAAAAA&#10;AAAAAAAALgIAAGRycy9lMm9Eb2MueG1sUEsBAi0AFAAGAAgAAAAhADHrS+bcAAAACgEAAA8AAAAA&#10;AAAAAAAAAAAAzgQAAGRycy9kb3ducmV2LnhtbFBLBQYAAAAABAAEAPMAAADXBQAAAAA=&#10;" fillcolor="black" stroked="f" strokeweight="0">
              <w10:wrap anchorx="page"/>
              <w10:anchorlock/>
            </v:rect>
          </w:pict>
        </mc:Fallback>
      </mc:AlternateContent>
    </w:r>
  </w:p>
  <w:p w14:paraId="66029DEC" w14:textId="77777777" w:rsidR="00F843B9" w:rsidRDefault="00F843B9" w:rsidP="008B6636">
    <w:r>
      <w:tab/>
    </w:r>
    <w:r>
      <w:tab/>
      <w:t>Internal Control Phase</w:t>
    </w:r>
  </w:p>
  <w:p w14:paraId="0D715A81" w14:textId="77777777" w:rsidR="00F843B9" w:rsidRDefault="00F843B9" w:rsidP="008B6636">
    <w:r>
      <w:tab/>
    </w:r>
    <w:r>
      <w:tab/>
      <w:t>320 -</w:t>
    </w:r>
    <w:r>
      <w:tab/>
      <w:t>Understand Information Systems</w:t>
    </w:r>
  </w:p>
  <w:p w14:paraId="50A9AC54" w14:textId="77777777" w:rsidR="00F843B9" w:rsidRDefault="00F843B9" w:rsidP="008B6636">
    <w:r>
      <w:rPr>
        <w:noProof/>
      </w:rPr>
      <mc:AlternateContent>
        <mc:Choice Requires="wps">
          <w:drawing>
            <wp:anchor distT="0" distB="0" distL="114300" distR="114300" simplePos="0" relativeHeight="251644416" behindDoc="1" locked="1" layoutInCell="1" allowOverlap="1" wp14:anchorId="2184C3A1" wp14:editId="7D51B8E6">
              <wp:simplePos x="0" y="0"/>
              <wp:positionH relativeFrom="page">
                <wp:posOffset>1384935</wp:posOffset>
              </wp:positionH>
              <wp:positionV relativeFrom="paragraph">
                <wp:posOffset>-23495</wp:posOffset>
              </wp:positionV>
              <wp:extent cx="5486400" cy="12065"/>
              <wp:effectExtent l="3810" t="0" r="0" b="1905"/>
              <wp:wrapNone/>
              <wp:docPr id="44"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A949BB" id="Rectangle 30" o:spid="_x0000_s1026" style="position:absolute;margin-left:109.05pt;margin-top:-1.85pt;width:6in;height:.95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koscgIAAPkEAAAOAAAAZHJzL2Uyb0RvYy54bWysVNuO2yAQfa/Uf0C8Z22n5GJrndVemqrS&#10;tl112w8ggGNUDBRInLTqv3fASTbbvqyq5oEwnuFw5swMl1e7TqGtcF4aXePiIsdIaGa41Osaf/2y&#10;HM0x8oFqTpXRosZ74fHV4vWry95WYmxao7hwCEC0r3pb4zYEW2WZZ63oqL8wVmhwNsZ1NIDp1hl3&#10;tAf0TmXjPJ9mvXHcOsOE9/D1bnDiRcJvGsHCp6bxIiBVY+AW0urSuoprtrik1dpR20p2oEH/gUVH&#10;pYZLT1B3NFC0cfIvqE4yZ7xpwgUzXWaaRjKRcoBsivyPbB5bakXKBcTx9iST/3+w7OP2wSHJa0wI&#10;Rpp2UKPPoBrVayXQmyRQb30FcY/2wcUUvb037JtH2ty2ECaunTN9KygHWkUUNHt2IBoejqJV/8Fw&#10;gKebYJJWu8Z1ERBUQLtUkv2pJGIXEIOPEzKfkhwqx8BXjPPpJN1Aq+Nh63x4J0yH4qbGDrgncLq9&#10;9yGSodUxJJE3SvKlVCoZbr26VQ5taeyO9Dug+/MwpWOwNvHYgDh8AY5wR/RFtqnaP8tiTPKbcTla&#10;TuezEVmSyaic5fNRXpQ35TQnJblb/ooEC1K1knOh76UWx84ryMsqe5iBoWdS76E+SpeSOqfuX5Zh&#10;JwNMoZJdjecnGWgVi/pW8zQjgUo17LPn3JPEIMDxP0mSWiBWPQ6ir1aG76EDnIEKQS3hvYBNa9wP&#10;jHqYvRr77xvqBEbqvYYuKgtC4rAmg0xmYzDcuWd17qGaAVSNA0bD9jYMA76xTq5buKlIwmhzDZ3X&#10;yNQVT6wO/QrzlTI4vAVxgM/tFPX0Yi1+AwAA//8DAFBLAwQUAAYACAAAACEAohw6dNwAAAAKAQAA&#10;DwAAAGRycy9kb3ducmV2LnhtbEyPPU/DMBCGdyT+g3VIbK2dBIIV4lSAxIrUlIXNiU0SEZ9N7Lbh&#10;33OdYLz3Hr0f9W51MzvZJU4eFWRbAcxi782Eg4L3w+tGAotJo9GzR6vgx0bYNddXta6MP+Pento0&#10;MDLBWGkFY0qh4jz2o3U6bn2wSL9Pvzid6FwGbhZ9JnM381yIkjs9ISWMOtiX0fZf7dFR7kfRiiC/&#10;nwd0b3f7rgxFV94rdXuzPj0CS3ZNfzBc6lN1aKhT549oIpsV5JnMCFWwKR6AXQAhc1I6UjIJvKn5&#10;/wnNLwAAAP//AwBQSwECLQAUAAYACAAAACEAtoM4kv4AAADhAQAAEwAAAAAAAAAAAAAAAAAAAAAA&#10;W0NvbnRlbnRfVHlwZXNdLnhtbFBLAQItABQABgAIAAAAIQA4/SH/1gAAAJQBAAALAAAAAAAAAAAA&#10;AAAAAC8BAABfcmVscy8ucmVsc1BLAQItABQABgAIAAAAIQB2WkoscgIAAPkEAAAOAAAAAAAAAAAA&#10;AAAAAC4CAABkcnMvZTJvRG9jLnhtbFBLAQItABQABgAIAAAAIQCiHDp03AAAAAoBAAAPAAAAAAAA&#10;AAAAAAAAAMwEAABkcnMvZG93bnJldi54bWxQSwUGAAAAAAQABADzAAAA1QUAAAAA&#10;" fillcolor="black" stroked="f" strokeweight="0">
              <w10:wrap anchorx="page"/>
              <w10:anchorlock/>
            </v:rect>
          </w:pict>
        </mc:Fallback>
      </mc:AlternateContent>
    </w:r>
  </w:p>
  <w:p w14:paraId="1844E577" w14:textId="77777777" w:rsidR="00F843B9" w:rsidRDefault="00F843B9" w:rsidP="008B6636"/>
  <w:p w14:paraId="2623BCA1" w14:textId="77777777" w:rsidR="00F843B9" w:rsidRDefault="00F843B9" w:rsidP="00CC5F9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11EBA" w14:textId="77777777" w:rsidR="00F843B9" w:rsidRPr="00D20FD5" w:rsidRDefault="00F843B9" w:rsidP="00666BFE">
    <w:pPr>
      <w:pStyle w:val="Header"/>
      <w:spacing w:before="0"/>
    </w:pPr>
    <w:r w:rsidRPr="00D20FD5">
      <w:t>Internal Control Phase</w:t>
    </w:r>
  </w:p>
  <w:p w14:paraId="0AC47C0C" w14:textId="4EB7AF75" w:rsidR="00F843B9" w:rsidRPr="00D20FD5" w:rsidRDefault="00602497" w:rsidP="00353A9C">
    <w:pPr>
      <w:pStyle w:val="Header"/>
    </w:pPr>
    <w:r>
      <w:fldChar w:fldCharType="begin"/>
    </w:r>
    <w:r>
      <w:instrText xml:space="preserve"> STYLEREF  "Heading 2 FAM"  \* MERGEFORMAT </w:instrText>
    </w:r>
    <w:r>
      <w:fldChar w:fldCharType="separate"/>
    </w:r>
    <w:r w:rsidR="00C47D20">
      <w:rPr>
        <w:noProof/>
      </w:rPr>
      <w:t>320 – Understand Information Systems</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CECE2" w14:textId="77777777" w:rsidR="00F843B9" w:rsidRDefault="00F843B9" w:rsidP="008B6636">
    <w:pPr>
      <w:rPr>
        <w:sz w:val="32"/>
        <w:szCs w:val="32"/>
      </w:rPr>
    </w:pPr>
    <w:r>
      <w:rPr>
        <w:noProof/>
      </w:rPr>
      <mc:AlternateContent>
        <mc:Choice Requires="wps">
          <w:drawing>
            <wp:anchor distT="0" distB="0" distL="114300" distR="114300" simplePos="0" relativeHeight="251639296" behindDoc="1" locked="1" layoutInCell="0" allowOverlap="1" wp14:anchorId="795DD023" wp14:editId="1F06BDFC">
              <wp:simplePos x="0" y="0"/>
              <wp:positionH relativeFrom="page">
                <wp:posOffset>1600200</wp:posOffset>
              </wp:positionH>
              <wp:positionV relativeFrom="paragraph">
                <wp:posOffset>0</wp:posOffset>
              </wp:positionV>
              <wp:extent cx="5486400" cy="12065"/>
              <wp:effectExtent l="0" t="0" r="0" b="0"/>
              <wp:wrapNone/>
              <wp:docPr id="4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1D254D" id="Rectangle 25" o:spid="_x0000_s1026" style="position:absolute;margin-left:126pt;margin-top:0;width:6in;height:.95pt;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zVmdAIAAPk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zAp&#10;MdK0hx59Atao3iiBymkkaLC+hrhH++Biid7eG/bVI21uOwgT186ZoROUA6wixmfPDkTDw1G0Ht4b&#10;DunpNpjE1b51fUwILKB9asnTqSViHxCDj1Myn5EcOsfAV5T5LCHKaH08bJ0Pb4XpUdw02AH2lJzu&#10;7n2IYGh9DEngjZJ8JZVKhtusb5VDOxrVkX4JP9R4HqZ0DNYmHhszjl8AI9wRfRFt6vaPqihJflNW&#10;k9VsfjkhKzKdVJf5fJIX1U01y0lF7lY/I8CC1J3kXOh7qcVReQV5WWcPMzBqJmkPDZG6VNQ5dP+y&#10;CnsZYAqV7Bs8P9FA69jUN5pDzbQOVKpxnz3HnigGAo7/iZIkgdj1UT1rw59AAc5Ah6CX8F7ApjPu&#10;O0YDzF6D/bctdQIj9U6DiqqCkDisySDTyxIMd+5Zn3uoZpCqwQGjcXsbxgHfWic3HdxUJGK0uQbl&#10;tTKpIqpyRHXQK8xXquDwFsQBPrdT1O8Xa/kL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Klc1Zn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5AC8828D" w14:textId="77777777" w:rsidR="00F843B9" w:rsidRDefault="00F843B9" w:rsidP="008B6636">
    <w:r>
      <w:tab/>
    </w:r>
    <w:r>
      <w:tab/>
      <w:t>Internal Control Phase</w:t>
    </w:r>
  </w:p>
  <w:p w14:paraId="59453D01" w14:textId="77777777" w:rsidR="00F843B9" w:rsidRDefault="00F843B9" w:rsidP="008B6636">
    <w:r>
      <w:tab/>
    </w:r>
  </w:p>
  <w:p w14:paraId="50422AC6" w14:textId="77777777" w:rsidR="00F843B9" w:rsidRDefault="00F843B9" w:rsidP="008B6636">
    <w:pPr>
      <w:rPr>
        <w:sz w:val="32"/>
        <w:szCs w:val="32"/>
      </w:rPr>
    </w:pPr>
    <w:r>
      <w:rPr>
        <w:noProof/>
      </w:rPr>
      <mc:AlternateContent>
        <mc:Choice Requires="wps">
          <w:drawing>
            <wp:anchor distT="0" distB="0" distL="114300" distR="114300" simplePos="0" relativeHeight="251640320" behindDoc="1" locked="1" layoutInCell="0" allowOverlap="1" wp14:anchorId="60B33C58" wp14:editId="571EE6F7">
              <wp:simplePos x="0" y="0"/>
              <wp:positionH relativeFrom="page">
                <wp:posOffset>1600200</wp:posOffset>
              </wp:positionH>
              <wp:positionV relativeFrom="paragraph">
                <wp:posOffset>0</wp:posOffset>
              </wp:positionV>
              <wp:extent cx="5486400" cy="12065"/>
              <wp:effectExtent l="0" t="0" r="0" b="0"/>
              <wp:wrapNone/>
              <wp:docPr id="41"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D40BD4" id="Rectangle 26" o:spid="_x0000_s1026" style="position:absolute;margin-left:126pt;margin-top:0;width:6in;height:.95pt;z-index:-251676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s2WdAIAAPk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zAp&#10;MNK0hx59Atao3iiBylkkaLC+hrhH++Biid7eG/bVI21uOwgT186ZoROUA6wixmfPDkTDw1G0Ht4b&#10;DunpNpjE1b51fUwILKB9asnTqSViHxCDj1Myn5EcOsfAV5T5bJpuoPXxsHU+vBWmR3HTYAfYU3K6&#10;u/chgqH1MSSBN0rylVQqGW6zvlUO7WhUR/odsvvzMKVjsDbx2Jhx/AIY4Y7oi2hTt39URUnym7Ka&#10;rGbzywlZkemkusznk7yobqpZTipyt/oZARak7iTnQt9LLY7KK8jLOnuYgVEzSXtoiNSlos6h+5dV&#10;2MsAU6hk3+D5iQZax6a+0RxqpnWgUo377Dn2RDEQcPxPlCQJxK6P6lkb/gQKcAY6BL2E9wI2nXHf&#10;MRpg9hrsv22pExipdxpUVBWExGFNBplelmC4c8/63EM1g1QNDhiN29swDvjWOrnp4KYiEaPNNSiv&#10;lUkVUZUjqoNeYb5SBYe3IA7wuZ2ifr9Yy18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JjLNln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156FDED9" w14:textId="77777777" w:rsidR="00F843B9" w:rsidRDefault="00F843B9" w:rsidP="008B6636">
    <w:r>
      <w:tab/>
    </w:r>
    <w:r>
      <w:tab/>
      <w:t>320 -</w:t>
    </w:r>
    <w:r>
      <w:tab/>
      <w:t>UNDERSTAND INFORMATION SYSTEMS</w:t>
    </w:r>
  </w:p>
  <w:p w14:paraId="7FC4FA67" w14:textId="77777777" w:rsidR="00F843B9" w:rsidRDefault="00F843B9" w:rsidP="008B663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FDE0BB6"/>
    <w:lvl w:ilvl="0">
      <w:start w:val="1"/>
      <w:numFmt w:val="lowerLetter"/>
      <w:pStyle w:val="FAM-alpha-1"/>
      <w:lvlText w:val="%1."/>
      <w:lvlJc w:val="left"/>
      <w:pPr>
        <w:tabs>
          <w:tab w:val="num" w:pos="1800"/>
        </w:tabs>
        <w:ind w:left="1800" w:hanging="360"/>
      </w:pPr>
      <w:rPr>
        <w:rFonts w:hint="default"/>
      </w:rPr>
    </w:lvl>
  </w:abstractNum>
  <w:abstractNum w:abstractNumId="1" w15:restartNumberingAfterBreak="0">
    <w:nsid w:val="FFFFFF83"/>
    <w:multiLevelType w:val="singleLevel"/>
    <w:tmpl w:val="5A5CD1A8"/>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34C2AF4"/>
    <w:multiLevelType w:val="hybridMultilevel"/>
    <w:tmpl w:val="18BAE5FC"/>
    <w:lvl w:ilvl="0" w:tplc="1B68AE3C">
      <w:start w:val="1"/>
      <w:numFmt w:val="decimalZero"/>
      <w:pStyle w:val="FAM-Subsection"/>
      <w:lvlText w:val=".%1"/>
      <w:lvlJc w:val="left"/>
      <w:pPr>
        <w:tabs>
          <w:tab w:val="num" w:pos="1440"/>
        </w:tabs>
        <w:ind w:left="1440" w:hanging="720"/>
      </w:pPr>
      <w:rPr>
        <w:rFonts w:hint="default"/>
        <w:b w:val="0"/>
        <w:bCs w:val="0"/>
        <w:sz w:val="22"/>
        <w:szCs w:val="22"/>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3">
      <w:start w:val="1"/>
      <w:numFmt w:val="bullet"/>
      <w:lvlText w:val="o"/>
      <w:lvlJc w:val="left"/>
      <w:pPr>
        <w:tabs>
          <w:tab w:val="num" w:pos="2880"/>
        </w:tabs>
        <w:ind w:left="2880" w:hanging="360"/>
      </w:pPr>
      <w:rPr>
        <w:rFonts w:ascii="Courier New" w:hAnsi="Courier New" w:cs="Courier New" w:hint="default"/>
      </w:rPr>
    </w:lvl>
    <w:lvl w:ilvl="4" w:tplc="04090019">
      <w:start w:val="1"/>
      <w:numFmt w:val="lowerLetter"/>
      <w:lvlText w:val="%5."/>
      <w:lvlJc w:val="left"/>
      <w:pPr>
        <w:tabs>
          <w:tab w:val="num" w:pos="3600"/>
        </w:tabs>
        <w:ind w:left="3600" w:hanging="360"/>
      </w:pPr>
    </w:lvl>
    <w:lvl w:ilvl="5" w:tplc="D55CBA94">
      <w:start w:val="1"/>
      <w:numFmt w:val="lowerLetter"/>
      <w:lvlText w:val="%6.)"/>
      <w:lvlJc w:val="left"/>
      <w:pPr>
        <w:ind w:left="4500" w:hanging="360"/>
      </w:pPr>
      <w:rPr>
        <w:rFonts w:hint="default"/>
      </w:rPr>
    </w:lvl>
    <w:lvl w:ilvl="6" w:tplc="FD0437A6">
      <w:start w:val="1"/>
      <w:numFmt w:val="decimal"/>
      <w:lvlText w:val="(%7)"/>
      <w:lvlJc w:val="left"/>
      <w:pPr>
        <w:ind w:left="5040" w:hanging="360"/>
      </w:pPr>
      <w:rPr>
        <w:rFonts w:hint="default"/>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3DA0224"/>
    <w:multiLevelType w:val="hybridMultilevel"/>
    <w:tmpl w:val="C8946BD6"/>
    <w:lvl w:ilvl="0" w:tplc="04090001">
      <w:start w:val="1"/>
      <w:numFmt w:val="bullet"/>
      <w:lvlText w:val=""/>
      <w:lvlJc w:val="left"/>
      <w:pPr>
        <w:tabs>
          <w:tab w:val="num" w:pos="2160"/>
        </w:tabs>
        <w:ind w:left="2160" w:hanging="360"/>
      </w:pPr>
      <w:rPr>
        <w:rFonts w:ascii="Symbol" w:hAnsi="Symbol" w:hint="default"/>
      </w:rPr>
    </w:lvl>
    <w:lvl w:ilvl="1" w:tplc="BB78989C">
      <w:start w:val="1"/>
      <w:numFmt w:val="bullet"/>
      <w:pStyle w:val="Style2FAMBullet2B"/>
      <w:lvlText w:val="o"/>
      <w:lvlJc w:val="left"/>
      <w:pPr>
        <w:tabs>
          <w:tab w:val="num" w:pos="2880"/>
        </w:tabs>
        <w:ind w:left="2880" w:hanging="360"/>
      </w:pPr>
      <w:rPr>
        <w:rFonts w:ascii="Courier New" w:hAnsi="Courier New" w:cs="Courier New" w:hint="default"/>
      </w:rPr>
    </w:lvl>
    <w:lvl w:ilvl="2" w:tplc="F9887214">
      <w:start w:val="1"/>
      <w:numFmt w:val="lowerRoman"/>
      <w:pStyle w:val="FAMroman3"/>
      <w:lvlText w:val="%3."/>
      <w:lvlJc w:val="right"/>
      <w:pPr>
        <w:tabs>
          <w:tab w:val="num" w:pos="3600"/>
        </w:tabs>
        <w:ind w:left="3600" w:hanging="360"/>
      </w:pPr>
      <w:rPr>
        <w:rFont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03F928D0"/>
    <w:multiLevelType w:val="hybridMultilevel"/>
    <w:tmpl w:val="BFDCF87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075E4DE3"/>
    <w:multiLevelType w:val="hybridMultilevel"/>
    <w:tmpl w:val="A00C82EA"/>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614FEC"/>
    <w:multiLevelType w:val="hybridMultilevel"/>
    <w:tmpl w:val="90BE7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8E7680"/>
    <w:multiLevelType w:val="hybridMultilevel"/>
    <w:tmpl w:val="32DED2F0"/>
    <w:lvl w:ilvl="0" w:tplc="04090001">
      <w:start w:val="1"/>
      <w:numFmt w:val="bullet"/>
      <w:lvlText w:val=""/>
      <w:lvlJc w:val="left"/>
      <w:pPr>
        <w:tabs>
          <w:tab w:val="num" w:pos="1800"/>
        </w:tabs>
        <w:ind w:left="180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BD236D4"/>
    <w:multiLevelType w:val="hybridMultilevel"/>
    <w:tmpl w:val="AED6DF26"/>
    <w:lvl w:ilvl="0" w:tplc="FFFFFFFF">
      <w:start w:val="1"/>
      <w:numFmt w:val="bullet"/>
      <w:lvlText w:val=""/>
      <w:lvlJc w:val="left"/>
      <w:pPr>
        <w:ind w:left="216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9" w15:restartNumberingAfterBreak="0">
    <w:nsid w:val="0CB65A76"/>
    <w:multiLevelType w:val="hybridMultilevel"/>
    <w:tmpl w:val="40847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D9531B4"/>
    <w:multiLevelType w:val="hybridMultilevel"/>
    <w:tmpl w:val="E1C842E0"/>
    <w:lvl w:ilvl="0" w:tplc="62164C80">
      <w:start w:val="1"/>
      <w:numFmt w:val="decimal"/>
      <w:pStyle w:val="StyleFAM-Table-NumListArial11pt"/>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0D97C42"/>
    <w:multiLevelType w:val="hybridMultilevel"/>
    <w:tmpl w:val="B8CE66F0"/>
    <w:lvl w:ilvl="0" w:tplc="9998D368">
      <w:start w:val="1"/>
      <w:numFmt w:val="lowerRoman"/>
      <w:pStyle w:val="FAMroman1"/>
      <w:lvlText w:val="%1."/>
      <w:lvlJc w:val="right"/>
      <w:pPr>
        <w:tabs>
          <w:tab w:val="num" w:pos="1440"/>
        </w:tabs>
        <w:ind w:left="144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rPr>
    </w:lvl>
    <w:lvl w:ilvl="4" w:tplc="04090019">
      <w:start w:val="1"/>
      <w:numFmt w:val="lowerLetter"/>
      <w:lvlText w:val="%5."/>
      <w:lvlJc w:val="left"/>
      <w:pPr>
        <w:tabs>
          <w:tab w:val="num" w:pos="3600"/>
        </w:tabs>
        <w:ind w:left="3600" w:hanging="360"/>
      </w:pPr>
    </w:lvl>
    <w:lvl w:ilvl="5" w:tplc="D55CBA94">
      <w:start w:val="1"/>
      <w:numFmt w:val="lowerLetter"/>
      <w:lvlText w:val="%6.)"/>
      <w:lvlJc w:val="left"/>
      <w:pPr>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1EB1462"/>
    <w:multiLevelType w:val="hybridMultilevel"/>
    <w:tmpl w:val="56209120"/>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04090019">
      <w:start w:val="1"/>
      <w:numFmt w:val="lowerLetter"/>
      <w:lvlText w:val="%7."/>
      <w:lvlJc w:val="left"/>
      <w:pPr>
        <w:ind w:left="216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3" w15:restartNumberingAfterBreak="0">
    <w:nsid w:val="121A1706"/>
    <w:multiLevelType w:val="hybridMultilevel"/>
    <w:tmpl w:val="D4B6D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B60C09"/>
    <w:multiLevelType w:val="hybridMultilevel"/>
    <w:tmpl w:val="0C440116"/>
    <w:lvl w:ilvl="0" w:tplc="971462F0">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2B304154">
      <w:start w:val="1"/>
      <w:numFmt w:val="bullet"/>
      <w:pStyle w:val="FAMBullet2"/>
      <w:lvlText w:val="o"/>
      <w:lvlJc w:val="left"/>
      <w:pPr>
        <w:tabs>
          <w:tab w:val="num" w:pos="2160"/>
        </w:tabs>
        <w:ind w:left="2160" w:hanging="360"/>
      </w:pPr>
      <w:rPr>
        <w:rFonts w:ascii="Courier New" w:hAnsi="Courier New" w:cs="Courier New" w:hint="default"/>
      </w:rPr>
    </w:lvl>
    <w:lvl w:ilvl="3" w:tplc="04090001">
      <w:start w:val="1"/>
      <w:numFmt w:val="bullet"/>
      <w:lvlText w:val=""/>
      <w:lvlJc w:val="left"/>
      <w:pPr>
        <w:tabs>
          <w:tab w:val="num" w:pos="2880"/>
        </w:tabs>
        <w:ind w:left="2880" w:hanging="360"/>
      </w:pPr>
      <w:rPr>
        <w:rFonts w:ascii="Symbol" w:hAnsi="Symbol" w:hint="default"/>
      </w:rPr>
    </w:lvl>
    <w:lvl w:ilvl="4" w:tplc="DEF4F926">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ED3061"/>
    <w:multiLevelType w:val="hybridMultilevel"/>
    <w:tmpl w:val="520E4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177CB4"/>
    <w:multiLevelType w:val="hybridMultilevel"/>
    <w:tmpl w:val="CDC0E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00320C"/>
    <w:multiLevelType w:val="hybridMultilevel"/>
    <w:tmpl w:val="8A101EDC"/>
    <w:lvl w:ilvl="0" w:tplc="04090001">
      <w:start w:val="1"/>
      <w:numFmt w:val="bullet"/>
      <w:lvlText w:val=""/>
      <w:lvlJc w:val="left"/>
      <w:pPr>
        <w:tabs>
          <w:tab w:val="num" w:pos="2160"/>
        </w:tabs>
        <w:ind w:left="2160" w:hanging="360"/>
      </w:pPr>
      <w:rPr>
        <w:rFonts w:ascii="Symbol" w:hAnsi="Symbol" w:hint="default"/>
      </w:rPr>
    </w:lvl>
    <w:lvl w:ilvl="1" w:tplc="BB78989C">
      <w:start w:val="1"/>
      <w:numFmt w:val="bullet"/>
      <w:lvlText w:val="o"/>
      <w:lvlJc w:val="left"/>
      <w:pPr>
        <w:tabs>
          <w:tab w:val="num" w:pos="2880"/>
        </w:tabs>
        <w:ind w:left="2880" w:hanging="360"/>
      </w:pPr>
      <w:rPr>
        <w:rFonts w:ascii="Courier New" w:hAnsi="Courier New" w:cs="Courier New" w:hint="default"/>
      </w:rPr>
    </w:lvl>
    <w:lvl w:ilvl="2" w:tplc="0409001B">
      <w:start w:val="1"/>
      <w:numFmt w:val="lowerRoman"/>
      <w:lvlText w:val="%3."/>
      <w:lvlJc w:val="right"/>
      <w:pPr>
        <w:tabs>
          <w:tab w:val="num" w:pos="3600"/>
        </w:tabs>
        <w:ind w:left="3600" w:hanging="360"/>
      </w:pPr>
      <w:rPr>
        <w:rFont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8" w15:restartNumberingAfterBreak="0">
    <w:nsid w:val="1A683078"/>
    <w:multiLevelType w:val="hybridMultilevel"/>
    <w:tmpl w:val="64987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505F31"/>
    <w:multiLevelType w:val="hybridMultilevel"/>
    <w:tmpl w:val="88B063F8"/>
    <w:lvl w:ilvl="0" w:tplc="04090019">
      <w:start w:val="1"/>
      <w:numFmt w:val="lowerLetter"/>
      <w:lvlText w:val="%1."/>
      <w:lvlJc w:val="left"/>
      <w:pPr>
        <w:tabs>
          <w:tab w:val="num" w:pos="1440"/>
        </w:tabs>
        <w:ind w:left="1440" w:hanging="720"/>
      </w:pPr>
      <w:rPr>
        <w:rFonts w:hint="default"/>
        <w:b w:val="0"/>
        <w:bCs w:val="0"/>
        <w:sz w:val="22"/>
        <w:szCs w:val="22"/>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start w:val="1"/>
      <w:numFmt w:val="bullet"/>
      <w:lvlText w:val="o"/>
      <w:lvlJc w:val="left"/>
      <w:pPr>
        <w:tabs>
          <w:tab w:val="num" w:pos="2880"/>
        </w:tabs>
        <w:ind w:left="2880" w:hanging="360"/>
      </w:pPr>
      <w:rPr>
        <w:rFonts w:ascii="Courier New" w:hAnsi="Courier New" w:cs="Courier New" w:hint="default"/>
      </w:rPr>
    </w:lvl>
    <w:lvl w:ilvl="4" w:tplc="FFFFFFFF">
      <w:start w:val="1"/>
      <w:numFmt w:val="lowerLetter"/>
      <w:lvlText w:val="%5."/>
      <w:lvlJc w:val="left"/>
      <w:pPr>
        <w:tabs>
          <w:tab w:val="num" w:pos="3600"/>
        </w:tabs>
        <w:ind w:left="3600" w:hanging="360"/>
      </w:pPr>
    </w:lvl>
    <w:lvl w:ilvl="5" w:tplc="FFFFFFFF">
      <w:start w:val="1"/>
      <w:numFmt w:val="lowerLetter"/>
      <w:lvlText w:val="%6.)"/>
      <w:lvlJc w:val="left"/>
      <w:pPr>
        <w:ind w:left="4500" w:hanging="360"/>
      </w:pPr>
      <w:rPr>
        <w:rFonts w:hint="default"/>
      </w:rPr>
    </w:lvl>
    <w:lvl w:ilvl="6" w:tplc="FFFFFFFF">
      <w:start w:val="1"/>
      <w:numFmt w:val="decimal"/>
      <w:lvlText w:val="(%7)"/>
      <w:lvlJc w:val="left"/>
      <w:pPr>
        <w:ind w:left="5040" w:hanging="36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D626C4F"/>
    <w:multiLevelType w:val="hybridMultilevel"/>
    <w:tmpl w:val="B218B6C2"/>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1EBB262D"/>
    <w:multiLevelType w:val="hybridMultilevel"/>
    <w:tmpl w:val="A71ECF10"/>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1FEF55DC"/>
    <w:multiLevelType w:val="hybridMultilevel"/>
    <w:tmpl w:val="9C2E0E94"/>
    <w:lvl w:ilvl="0" w:tplc="04090001">
      <w:start w:val="1"/>
      <w:numFmt w:val="bullet"/>
      <w:lvlText w:val=""/>
      <w:lvlJc w:val="left"/>
      <w:pPr>
        <w:tabs>
          <w:tab w:val="num" w:pos="1800"/>
        </w:tabs>
        <w:ind w:left="180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0F6297A"/>
    <w:multiLevelType w:val="hybridMultilevel"/>
    <w:tmpl w:val="CFB4A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2512D56"/>
    <w:multiLevelType w:val="hybridMultilevel"/>
    <w:tmpl w:val="EFF29FAC"/>
    <w:lvl w:ilvl="0" w:tplc="04090001">
      <w:start w:val="1"/>
      <w:numFmt w:val="bullet"/>
      <w:lvlText w:val=""/>
      <w:lvlJc w:val="left"/>
      <w:pPr>
        <w:ind w:left="1248" w:hanging="360"/>
      </w:pPr>
      <w:rPr>
        <w:rFonts w:ascii="Symbol" w:hAnsi="Symbol" w:hint="default"/>
      </w:rPr>
    </w:lvl>
    <w:lvl w:ilvl="1" w:tplc="04090003" w:tentative="1">
      <w:start w:val="1"/>
      <w:numFmt w:val="bullet"/>
      <w:lvlText w:val="o"/>
      <w:lvlJc w:val="left"/>
      <w:pPr>
        <w:ind w:left="1968" w:hanging="360"/>
      </w:pPr>
      <w:rPr>
        <w:rFonts w:ascii="Courier New" w:hAnsi="Courier New" w:cs="Courier New" w:hint="default"/>
      </w:rPr>
    </w:lvl>
    <w:lvl w:ilvl="2" w:tplc="04090005" w:tentative="1">
      <w:start w:val="1"/>
      <w:numFmt w:val="bullet"/>
      <w:lvlText w:val=""/>
      <w:lvlJc w:val="left"/>
      <w:pPr>
        <w:ind w:left="2688" w:hanging="360"/>
      </w:pPr>
      <w:rPr>
        <w:rFonts w:ascii="Wingdings" w:hAnsi="Wingdings" w:hint="default"/>
      </w:rPr>
    </w:lvl>
    <w:lvl w:ilvl="3" w:tplc="04090001" w:tentative="1">
      <w:start w:val="1"/>
      <w:numFmt w:val="bullet"/>
      <w:lvlText w:val=""/>
      <w:lvlJc w:val="left"/>
      <w:pPr>
        <w:ind w:left="3408" w:hanging="360"/>
      </w:pPr>
      <w:rPr>
        <w:rFonts w:ascii="Symbol" w:hAnsi="Symbol" w:hint="default"/>
      </w:rPr>
    </w:lvl>
    <w:lvl w:ilvl="4" w:tplc="04090003" w:tentative="1">
      <w:start w:val="1"/>
      <w:numFmt w:val="bullet"/>
      <w:lvlText w:val="o"/>
      <w:lvlJc w:val="left"/>
      <w:pPr>
        <w:ind w:left="4128" w:hanging="360"/>
      </w:pPr>
      <w:rPr>
        <w:rFonts w:ascii="Courier New" w:hAnsi="Courier New" w:cs="Courier New" w:hint="default"/>
      </w:rPr>
    </w:lvl>
    <w:lvl w:ilvl="5" w:tplc="04090005" w:tentative="1">
      <w:start w:val="1"/>
      <w:numFmt w:val="bullet"/>
      <w:lvlText w:val=""/>
      <w:lvlJc w:val="left"/>
      <w:pPr>
        <w:ind w:left="4848" w:hanging="360"/>
      </w:pPr>
      <w:rPr>
        <w:rFonts w:ascii="Wingdings" w:hAnsi="Wingdings" w:hint="default"/>
      </w:rPr>
    </w:lvl>
    <w:lvl w:ilvl="6" w:tplc="04090001" w:tentative="1">
      <w:start w:val="1"/>
      <w:numFmt w:val="bullet"/>
      <w:lvlText w:val=""/>
      <w:lvlJc w:val="left"/>
      <w:pPr>
        <w:ind w:left="5568" w:hanging="360"/>
      </w:pPr>
      <w:rPr>
        <w:rFonts w:ascii="Symbol" w:hAnsi="Symbol" w:hint="default"/>
      </w:rPr>
    </w:lvl>
    <w:lvl w:ilvl="7" w:tplc="04090003" w:tentative="1">
      <w:start w:val="1"/>
      <w:numFmt w:val="bullet"/>
      <w:lvlText w:val="o"/>
      <w:lvlJc w:val="left"/>
      <w:pPr>
        <w:ind w:left="6288" w:hanging="360"/>
      </w:pPr>
      <w:rPr>
        <w:rFonts w:ascii="Courier New" w:hAnsi="Courier New" w:cs="Courier New" w:hint="default"/>
      </w:rPr>
    </w:lvl>
    <w:lvl w:ilvl="8" w:tplc="04090005" w:tentative="1">
      <w:start w:val="1"/>
      <w:numFmt w:val="bullet"/>
      <w:lvlText w:val=""/>
      <w:lvlJc w:val="left"/>
      <w:pPr>
        <w:ind w:left="7008" w:hanging="360"/>
      </w:pPr>
      <w:rPr>
        <w:rFonts w:ascii="Wingdings" w:hAnsi="Wingdings" w:hint="default"/>
      </w:rPr>
    </w:lvl>
  </w:abstractNum>
  <w:abstractNum w:abstractNumId="25" w15:restartNumberingAfterBreak="0">
    <w:nsid w:val="236B7298"/>
    <w:multiLevelType w:val="hybridMultilevel"/>
    <w:tmpl w:val="FE742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5DB7C52"/>
    <w:multiLevelType w:val="hybridMultilevel"/>
    <w:tmpl w:val="77C436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69C76BF"/>
    <w:multiLevelType w:val="hybridMultilevel"/>
    <w:tmpl w:val="8138C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A5032F"/>
    <w:multiLevelType w:val="hybridMultilevel"/>
    <w:tmpl w:val="4D80B65A"/>
    <w:lvl w:ilvl="0" w:tplc="C0A86022">
      <w:start w:val="1"/>
      <w:numFmt w:val="bullet"/>
      <w:pStyle w:val="StyleFAMBullet2"/>
      <w:lvlText w:val="º"/>
      <w:lvlJc w:val="left"/>
      <w:pPr>
        <w:ind w:left="2160" w:hanging="360"/>
      </w:pPr>
      <w:rPr>
        <w:rFonts w:ascii="Courier New" w:hAnsi="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2EAB2044"/>
    <w:multiLevelType w:val="hybridMultilevel"/>
    <w:tmpl w:val="082A9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EDB3497"/>
    <w:multiLevelType w:val="hybridMultilevel"/>
    <w:tmpl w:val="912A706E"/>
    <w:lvl w:ilvl="0" w:tplc="04090019">
      <w:start w:val="1"/>
      <w:numFmt w:val="lowerLetter"/>
      <w:lvlText w:val="%1."/>
      <w:lvlJc w:val="left"/>
      <w:pPr>
        <w:tabs>
          <w:tab w:val="num" w:pos="1800"/>
        </w:tabs>
        <w:ind w:left="180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72130B3"/>
    <w:multiLevelType w:val="hybridMultilevel"/>
    <w:tmpl w:val="16262F06"/>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2" w15:restartNumberingAfterBreak="0">
    <w:nsid w:val="37F61114"/>
    <w:multiLevelType w:val="hybridMultilevel"/>
    <w:tmpl w:val="ABBCCC3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38095DB0"/>
    <w:multiLevelType w:val="hybridMultilevel"/>
    <w:tmpl w:val="C71271F6"/>
    <w:lvl w:ilvl="0" w:tplc="6BA05DFE">
      <w:start w:val="1"/>
      <w:numFmt w:val="bullet"/>
      <w:pStyle w:val="FAM-Tabl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8531479"/>
    <w:multiLevelType w:val="hybridMultilevel"/>
    <w:tmpl w:val="3334B0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5" w15:restartNumberingAfterBreak="0">
    <w:nsid w:val="39720C07"/>
    <w:multiLevelType w:val="hybridMultilevel"/>
    <w:tmpl w:val="40DA5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E0E6ADC"/>
    <w:multiLevelType w:val="hybridMultilevel"/>
    <w:tmpl w:val="A86EE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F8922A2"/>
    <w:multiLevelType w:val="multilevel"/>
    <w:tmpl w:val="CEF4F6EA"/>
    <w:styleLink w:val="Style1"/>
    <w:lvl w:ilvl="0">
      <w:start w:val="1"/>
      <w:numFmt w:val="lowerLetter"/>
      <w:lvlText w:val="1%1."/>
      <w:lvlJc w:val="left"/>
      <w:pPr>
        <w:tabs>
          <w:tab w:val="num" w:pos="720"/>
        </w:tabs>
        <w:ind w:left="720" w:hanging="360"/>
      </w:pPr>
      <w:rPr>
        <w:rFonts w:ascii="ITCCentury Book" w:hAnsi="ITCCentury Book" w:hint="default"/>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40BD5B18"/>
    <w:multiLevelType w:val="hybridMultilevel"/>
    <w:tmpl w:val="C71C23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15:restartNumberingAfterBreak="0">
    <w:nsid w:val="42C23FBC"/>
    <w:multiLevelType w:val="hybridMultilevel"/>
    <w:tmpl w:val="5F6ADED6"/>
    <w:lvl w:ilvl="0" w:tplc="5A24AE70">
      <w:start w:val="1"/>
      <w:numFmt w:val="bullet"/>
      <w:pStyle w:val="FAM-Bullet-2"/>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4310117F"/>
    <w:multiLevelType w:val="hybridMultilevel"/>
    <w:tmpl w:val="C7B05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609063E"/>
    <w:multiLevelType w:val="hybridMultilevel"/>
    <w:tmpl w:val="1B26017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2" w15:restartNumberingAfterBreak="0">
    <w:nsid w:val="462967A5"/>
    <w:multiLevelType w:val="hybridMultilevel"/>
    <w:tmpl w:val="6F707B6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C6368C26">
      <w:start w:val="1"/>
      <w:numFmt w:val="decimal"/>
      <w:lvlText w:val="%3."/>
      <w:lvlJc w:val="left"/>
      <w:pPr>
        <w:ind w:left="2700" w:hanging="360"/>
      </w:pPr>
      <w:rPr>
        <w:rFonts w:hint="default"/>
        <w:b w:val="0"/>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47C45F80"/>
    <w:multiLevelType w:val="hybridMultilevel"/>
    <w:tmpl w:val="EDEE7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CA81F41"/>
    <w:multiLevelType w:val="hybridMultilevel"/>
    <w:tmpl w:val="848A380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5" w15:restartNumberingAfterBreak="0">
    <w:nsid w:val="500D35CF"/>
    <w:multiLevelType w:val="hybridMultilevel"/>
    <w:tmpl w:val="05AE4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2739CD"/>
    <w:multiLevelType w:val="hybridMultilevel"/>
    <w:tmpl w:val="7A4419E4"/>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04090001">
      <w:start w:val="1"/>
      <w:numFmt w:val="bullet"/>
      <w:lvlText w:val=""/>
      <w:lvlJc w:val="left"/>
      <w:pPr>
        <w:ind w:left="1800" w:hanging="360"/>
      </w:pPr>
      <w:rPr>
        <w:rFonts w:ascii="Symbol" w:hAnsi="Symbol" w:hint="default"/>
      </w:r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47" w15:restartNumberingAfterBreak="0">
    <w:nsid w:val="50F9143A"/>
    <w:multiLevelType w:val="hybridMultilevel"/>
    <w:tmpl w:val="641E3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57E0EB4"/>
    <w:multiLevelType w:val="hybridMultilevel"/>
    <w:tmpl w:val="9B2E9BD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9" w15:restartNumberingAfterBreak="0">
    <w:nsid w:val="566C451A"/>
    <w:multiLevelType w:val="hybridMultilevel"/>
    <w:tmpl w:val="8FB80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1A826BF"/>
    <w:multiLevelType w:val="hybridMultilevel"/>
    <w:tmpl w:val="47029BE0"/>
    <w:lvl w:ilvl="0" w:tplc="04090001">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1" w15:restartNumberingAfterBreak="0">
    <w:nsid w:val="64143001"/>
    <w:multiLevelType w:val="hybridMultilevel"/>
    <w:tmpl w:val="20B4E012"/>
    <w:lvl w:ilvl="0" w:tplc="9D203A18">
      <w:start w:val="1"/>
      <w:numFmt w:val="bullet"/>
      <w:pStyle w:val="FAM-Bullet-4"/>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45F4D62"/>
    <w:multiLevelType w:val="hybridMultilevel"/>
    <w:tmpl w:val="BC9A1270"/>
    <w:lvl w:ilvl="0" w:tplc="8CEE1FD0">
      <w:start w:val="1"/>
      <w:numFmt w:val="bullet"/>
      <w:pStyle w:val="FAM-Bullet-3"/>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54672F8"/>
    <w:multiLevelType w:val="hybridMultilevel"/>
    <w:tmpl w:val="AED23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96D4BE2"/>
    <w:multiLevelType w:val="hybridMultilevel"/>
    <w:tmpl w:val="051E9DCA"/>
    <w:lvl w:ilvl="0" w:tplc="FFFFFFFF">
      <w:start w:val="1"/>
      <w:numFmt w:val="decimalZero"/>
      <w:lvlText w:val=".%1"/>
      <w:lvlJc w:val="left"/>
      <w:pPr>
        <w:tabs>
          <w:tab w:val="num" w:pos="1440"/>
        </w:tabs>
        <w:ind w:left="1440" w:hanging="720"/>
      </w:pPr>
      <w:rPr>
        <w:rFonts w:hint="default"/>
        <w:b w:val="0"/>
        <w:bCs w:val="0"/>
        <w:sz w:val="22"/>
        <w:szCs w:val="22"/>
      </w:rPr>
    </w:lvl>
    <w:lvl w:ilvl="1" w:tplc="04090019">
      <w:start w:val="1"/>
      <w:numFmt w:val="lowerLetter"/>
      <w:lvlText w:val="%2."/>
      <w:lvlJc w:val="left"/>
      <w:pPr>
        <w:ind w:left="1080" w:hanging="360"/>
      </w:pPr>
    </w:lvl>
    <w:lvl w:ilvl="2" w:tplc="FFFFFFFF">
      <w:start w:val="1"/>
      <w:numFmt w:val="lowerRoman"/>
      <w:lvlText w:val="%3."/>
      <w:lvlJc w:val="right"/>
      <w:pPr>
        <w:tabs>
          <w:tab w:val="num" w:pos="2160"/>
        </w:tabs>
        <w:ind w:left="2160" w:hanging="180"/>
      </w:pPr>
    </w:lvl>
    <w:lvl w:ilvl="3" w:tplc="FFFFFFFF">
      <w:start w:val="1"/>
      <w:numFmt w:val="bullet"/>
      <w:lvlText w:val="o"/>
      <w:lvlJc w:val="left"/>
      <w:pPr>
        <w:tabs>
          <w:tab w:val="num" w:pos="2880"/>
        </w:tabs>
        <w:ind w:left="2880" w:hanging="360"/>
      </w:pPr>
      <w:rPr>
        <w:rFonts w:ascii="Courier New" w:hAnsi="Courier New" w:cs="Courier New" w:hint="default"/>
      </w:rPr>
    </w:lvl>
    <w:lvl w:ilvl="4" w:tplc="FFFFFFFF">
      <w:start w:val="1"/>
      <w:numFmt w:val="lowerLetter"/>
      <w:lvlText w:val="%5."/>
      <w:lvlJc w:val="left"/>
      <w:pPr>
        <w:tabs>
          <w:tab w:val="num" w:pos="3600"/>
        </w:tabs>
        <w:ind w:left="3600" w:hanging="360"/>
      </w:pPr>
    </w:lvl>
    <w:lvl w:ilvl="5" w:tplc="FFFFFFFF">
      <w:start w:val="1"/>
      <w:numFmt w:val="lowerLetter"/>
      <w:lvlText w:val="%6.)"/>
      <w:lvlJc w:val="left"/>
      <w:pPr>
        <w:ind w:left="4500" w:hanging="360"/>
      </w:pPr>
      <w:rPr>
        <w:rFonts w:hint="default"/>
      </w:rPr>
    </w:lvl>
    <w:lvl w:ilvl="6" w:tplc="FFFFFFFF">
      <w:start w:val="1"/>
      <w:numFmt w:val="decimal"/>
      <w:lvlText w:val="(%7)"/>
      <w:lvlJc w:val="left"/>
      <w:pPr>
        <w:ind w:left="5040" w:hanging="36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6BC416E4"/>
    <w:multiLevelType w:val="hybridMultilevel"/>
    <w:tmpl w:val="C38C6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C7B7E51"/>
    <w:multiLevelType w:val="hybridMultilevel"/>
    <w:tmpl w:val="692AF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EB148EC"/>
    <w:multiLevelType w:val="hybridMultilevel"/>
    <w:tmpl w:val="8A3ED07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8" w15:restartNumberingAfterBreak="0">
    <w:nsid w:val="71A51960"/>
    <w:multiLevelType w:val="hybridMultilevel"/>
    <w:tmpl w:val="6F2448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1AF1574"/>
    <w:multiLevelType w:val="hybridMultilevel"/>
    <w:tmpl w:val="51E64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29503A6"/>
    <w:multiLevelType w:val="hybridMultilevel"/>
    <w:tmpl w:val="7A6277CA"/>
    <w:lvl w:ilvl="0" w:tplc="04090019">
      <w:start w:val="1"/>
      <w:numFmt w:val="lowerLetter"/>
      <w:lvlText w:val="%1."/>
      <w:lvlJc w:val="left"/>
      <w:pPr>
        <w:ind w:left="2160" w:hanging="360"/>
      </w:pPr>
      <w:rPr>
        <w:rFonts w:hint="default"/>
      </w:rPr>
    </w:lvl>
    <w:lvl w:ilvl="1" w:tplc="FFFFFFFF">
      <w:start w:val="1"/>
      <w:numFmt w:val="bullet"/>
      <w:lvlText w:val="o"/>
      <w:lvlJc w:val="left"/>
      <w:pPr>
        <w:ind w:left="2880" w:hanging="360"/>
      </w:pPr>
      <w:rPr>
        <w:rFonts w:ascii="Courier New" w:hAnsi="Courier New" w:cs="Courier New" w:hint="default"/>
      </w:rPr>
    </w:lvl>
    <w:lvl w:ilvl="2" w:tplc="FFFFFFFF">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61" w15:restartNumberingAfterBreak="0">
    <w:nsid w:val="772C13E1"/>
    <w:multiLevelType w:val="hybridMultilevel"/>
    <w:tmpl w:val="C3869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8297C78"/>
    <w:multiLevelType w:val="hybridMultilevel"/>
    <w:tmpl w:val="C6485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84D060A"/>
    <w:multiLevelType w:val="hybridMultilevel"/>
    <w:tmpl w:val="CECC1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9C12560"/>
    <w:multiLevelType w:val="hybridMultilevel"/>
    <w:tmpl w:val="1F9AB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9D774B5"/>
    <w:multiLevelType w:val="hybridMultilevel"/>
    <w:tmpl w:val="5DE0C94A"/>
    <w:lvl w:ilvl="0" w:tplc="04090001">
      <w:start w:val="1"/>
      <w:numFmt w:val="bullet"/>
      <w:lvlText w:val=""/>
      <w:lvlJc w:val="left"/>
      <w:pPr>
        <w:tabs>
          <w:tab w:val="num" w:pos="1800"/>
        </w:tabs>
        <w:ind w:left="180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7A9E5428"/>
    <w:multiLevelType w:val="hybridMultilevel"/>
    <w:tmpl w:val="91747D38"/>
    <w:lvl w:ilvl="0" w:tplc="04090019">
      <w:start w:val="1"/>
      <w:numFmt w:val="lowerLetter"/>
      <w:lvlText w:val="%1."/>
      <w:lvlJc w:val="left"/>
      <w:pPr>
        <w:tabs>
          <w:tab w:val="num" w:pos="1800"/>
        </w:tabs>
        <w:ind w:left="1800" w:hanging="360"/>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C6E6888"/>
    <w:multiLevelType w:val="hybridMultilevel"/>
    <w:tmpl w:val="FC7E3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CAF06A7"/>
    <w:multiLevelType w:val="hybridMultilevel"/>
    <w:tmpl w:val="CD000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DD22CCF"/>
    <w:multiLevelType w:val="hybridMultilevel"/>
    <w:tmpl w:val="DA22C7A2"/>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7E0A2521"/>
    <w:multiLevelType w:val="hybridMultilevel"/>
    <w:tmpl w:val="1C60F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F6104F5"/>
    <w:multiLevelType w:val="hybridMultilevel"/>
    <w:tmpl w:val="CA604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3944403">
    <w:abstractNumId w:val="2"/>
  </w:num>
  <w:num w:numId="2" w16cid:durableId="1458374080">
    <w:abstractNumId w:val="5"/>
  </w:num>
  <w:num w:numId="3" w16cid:durableId="663049196">
    <w:abstractNumId w:val="14"/>
  </w:num>
  <w:num w:numId="4" w16cid:durableId="724720927">
    <w:abstractNumId w:val="33"/>
  </w:num>
  <w:num w:numId="5" w16cid:durableId="1551647369">
    <w:abstractNumId w:val="2"/>
    <w:lvlOverride w:ilvl="0">
      <w:startOverride w:val="1"/>
    </w:lvlOverride>
  </w:num>
  <w:num w:numId="6" w16cid:durableId="39865817">
    <w:abstractNumId w:val="2"/>
    <w:lvlOverride w:ilvl="0">
      <w:startOverride w:val="1"/>
    </w:lvlOverride>
  </w:num>
  <w:num w:numId="7" w16cid:durableId="345835494">
    <w:abstractNumId w:val="0"/>
  </w:num>
  <w:num w:numId="8" w16cid:durableId="1435054979">
    <w:abstractNumId w:val="3"/>
  </w:num>
  <w:num w:numId="9" w16cid:durableId="369115564">
    <w:abstractNumId w:val="39"/>
  </w:num>
  <w:num w:numId="10" w16cid:durableId="2046177361">
    <w:abstractNumId w:val="52"/>
  </w:num>
  <w:num w:numId="11" w16cid:durableId="1431966360">
    <w:abstractNumId w:val="51"/>
  </w:num>
  <w:num w:numId="12" w16cid:durableId="616135189">
    <w:abstractNumId w:val="10"/>
  </w:num>
  <w:num w:numId="13" w16cid:durableId="54160767">
    <w:abstractNumId w:val="37"/>
  </w:num>
  <w:num w:numId="14" w16cid:durableId="683363322">
    <w:abstractNumId w:val="2"/>
    <w:lvlOverride w:ilvl="0">
      <w:startOverride w:val="1"/>
    </w:lvlOverride>
  </w:num>
  <w:num w:numId="15" w16cid:durableId="1059133472">
    <w:abstractNumId w:val="7"/>
  </w:num>
  <w:num w:numId="16" w16cid:durableId="622346322">
    <w:abstractNumId w:val="22"/>
  </w:num>
  <w:num w:numId="17" w16cid:durableId="368602406">
    <w:abstractNumId w:val="65"/>
  </w:num>
  <w:num w:numId="18" w16cid:durableId="999962513">
    <w:abstractNumId w:val="2"/>
  </w:num>
  <w:num w:numId="19" w16cid:durableId="853231226">
    <w:abstractNumId w:val="2"/>
    <w:lvlOverride w:ilvl="0">
      <w:startOverride w:val="1"/>
    </w:lvlOverride>
  </w:num>
  <w:num w:numId="20" w16cid:durableId="2067491841">
    <w:abstractNumId w:val="24"/>
  </w:num>
  <w:num w:numId="21" w16cid:durableId="71587130">
    <w:abstractNumId w:val="20"/>
  </w:num>
  <w:num w:numId="22" w16cid:durableId="1971352599">
    <w:abstractNumId w:val="21"/>
  </w:num>
  <w:num w:numId="23" w16cid:durableId="1493595452">
    <w:abstractNumId w:val="2"/>
    <w:lvlOverride w:ilvl="0">
      <w:startOverride w:val="1"/>
    </w:lvlOverride>
  </w:num>
  <w:num w:numId="24" w16cid:durableId="49691700">
    <w:abstractNumId w:val="2"/>
    <w:lvlOverride w:ilvl="0">
      <w:startOverride w:val="1"/>
    </w:lvlOverride>
  </w:num>
  <w:num w:numId="25" w16cid:durableId="333261994">
    <w:abstractNumId w:val="2"/>
    <w:lvlOverride w:ilvl="0">
      <w:startOverride w:val="1"/>
    </w:lvlOverride>
  </w:num>
  <w:num w:numId="26" w16cid:durableId="766265709">
    <w:abstractNumId w:val="2"/>
    <w:lvlOverride w:ilvl="0">
      <w:startOverride w:val="1"/>
    </w:lvlOverride>
  </w:num>
  <w:num w:numId="27" w16cid:durableId="1450973553">
    <w:abstractNumId w:val="11"/>
  </w:num>
  <w:num w:numId="28" w16cid:durableId="1008603947">
    <w:abstractNumId w:val="2"/>
    <w:lvlOverride w:ilvl="0">
      <w:startOverride w:val="1"/>
    </w:lvlOverride>
  </w:num>
  <w:num w:numId="29" w16cid:durableId="1903759815">
    <w:abstractNumId w:val="2"/>
    <w:lvlOverride w:ilvl="0">
      <w:startOverride w:val="1"/>
    </w:lvlOverride>
  </w:num>
  <w:num w:numId="30" w16cid:durableId="794641782">
    <w:abstractNumId w:val="2"/>
    <w:lvlOverride w:ilvl="0">
      <w:startOverride w:val="1"/>
    </w:lvlOverride>
  </w:num>
  <w:num w:numId="31" w16cid:durableId="1081949893">
    <w:abstractNumId w:val="2"/>
    <w:lvlOverride w:ilvl="0">
      <w:startOverride w:val="1"/>
    </w:lvlOverride>
  </w:num>
  <w:num w:numId="32" w16cid:durableId="2097968946">
    <w:abstractNumId w:val="2"/>
    <w:lvlOverride w:ilvl="0">
      <w:startOverride w:val="1"/>
    </w:lvlOverride>
  </w:num>
  <w:num w:numId="33" w16cid:durableId="2093768683">
    <w:abstractNumId w:val="28"/>
  </w:num>
  <w:num w:numId="34" w16cid:durableId="960653066">
    <w:abstractNumId w:val="1"/>
  </w:num>
  <w:num w:numId="35" w16cid:durableId="1668898096">
    <w:abstractNumId w:val="41"/>
  </w:num>
  <w:num w:numId="36" w16cid:durableId="1014964644">
    <w:abstractNumId w:val="32"/>
  </w:num>
  <w:num w:numId="37" w16cid:durableId="1484274175">
    <w:abstractNumId w:val="17"/>
  </w:num>
  <w:num w:numId="38" w16cid:durableId="135069865">
    <w:abstractNumId w:val="58"/>
  </w:num>
  <w:num w:numId="39" w16cid:durableId="1771929169">
    <w:abstractNumId w:val="30"/>
  </w:num>
  <w:num w:numId="40" w16cid:durableId="341011002">
    <w:abstractNumId w:val="70"/>
  </w:num>
  <w:num w:numId="41" w16cid:durableId="1609195394">
    <w:abstractNumId w:val="45"/>
  </w:num>
  <w:num w:numId="42" w16cid:durableId="847410153">
    <w:abstractNumId w:val="62"/>
  </w:num>
  <w:num w:numId="43" w16cid:durableId="1373529863">
    <w:abstractNumId w:val="9"/>
  </w:num>
  <w:num w:numId="44" w16cid:durableId="779837401">
    <w:abstractNumId w:val="18"/>
  </w:num>
  <w:num w:numId="45" w16cid:durableId="1218707785">
    <w:abstractNumId w:val="40"/>
  </w:num>
  <w:num w:numId="46" w16cid:durableId="895162003">
    <w:abstractNumId w:val="71"/>
  </w:num>
  <w:num w:numId="47" w16cid:durableId="2065134962">
    <w:abstractNumId w:val="16"/>
  </w:num>
  <w:num w:numId="48" w16cid:durableId="402676617">
    <w:abstractNumId w:val="53"/>
  </w:num>
  <w:num w:numId="49" w16cid:durableId="1244492417">
    <w:abstractNumId w:val="13"/>
  </w:num>
  <w:num w:numId="50" w16cid:durableId="893346319">
    <w:abstractNumId w:val="61"/>
  </w:num>
  <w:num w:numId="51" w16cid:durableId="230312343">
    <w:abstractNumId w:val="56"/>
  </w:num>
  <w:num w:numId="52" w16cid:durableId="2146965323">
    <w:abstractNumId w:val="26"/>
  </w:num>
  <w:num w:numId="53" w16cid:durableId="1292438822">
    <w:abstractNumId w:val="55"/>
  </w:num>
  <w:num w:numId="54" w16cid:durableId="1639918676">
    <w:abstractNumId w:val="68"/>
  </w:num>
  <w:num w:numId="55" w16cid:durableId="785386240">
    <w:abstractNumId w:val="27"/>
  </w:num>
  <w:num w:numId="56" w16cid:durableId="1561018310">
    <w:abstractNumId w:val="59"/>
  </w:num>
  <w:num w:numId="57" w16cid:durableId="165445007">
    <w:abstractNumId w:val="29"/>
  </w:num>
  <w:num w:numId="58" w16cid:durableId="400754575">
    <w:abstractNumId w:val="6"/>
  </w:num>
  <w:num w:numId="59" w16cid:durableId="1590891664">
    <w:abstractNumId w:val="47"/>
  </w:num>
  <w:num w:numId="60" w16cid:durableId="1592932581">
    <w:abstractNumId w:val="43"/>
  </w:num>
  <w:num w:numId="61" w16cid:durableId="738289066">
    <w:abstractNumId w:val="15"/>
  </w:num>
  <w:num w:numId="62" w16cid:durableId="1626303325">
    <w:abstractNumId w:val="67"/>
  </w:num>
  <w:num w:numId="63" w16cid:durableId="2015103769">
    <w:abstractNumId w:val="64"/>
  </w:num>
  <w:num w:numId="64" w16cid:durableId="409428054">
    <w:abstractNumId w:val="49"/>
  </w:num>
  <w:num w:numId="65" w16cid:durableId="91559461">
    <w:abstractNumId w:val="63"/>
  </w:num>
  <w:num w:numId="66" w16cid:durableId="1805003507">
    <w:abstractNumId w:val="35"/>
  </w:num>
  <w:num w:numId="67" w16cid:durableId="314067627">
    <w:abstractNumId w:val="36"/>
  </w:num>
  <w:num w:numId="68" w16cid:durableId="520708521">
    <w:abstractNumId w:val="25"/>
  </w:num>
  <w:num w:numId="69" w16cid:durableId="414862260">
    <w:abstractNumId w:val="23"/>
  </w:num>
  <w:num w:numId="70" w16cid:durableId="793132730">
    <w:abstractNumId w:val="50"/>
  </w:num>
  <w:num w:numId="71" w16cid:durableId="480777672">
    <w:abstractNumId w:val="60"/>
  </w:num>
  <w:num w:numId="72" w16cid:durableId="453523037">
    <w:abstractNumId w:val="8"/>
  </w:num>
  <w:num w:numId="73" w16cid:durableId="1132596433">
    <w:abstractNumId w:val="69"/>
  </w:num>
  <w:num w:numId="74" w16cid:durableId="470564936">
    <w:abstractNumId w:val="19"/>
  </w:num>
  <w:num w:numId="75" w16cid:durableId="871306186">
    <w:abstractNumId w:val="42"/>
  </w:num>
  <w:num w:numId="76" w16cid:durableId="868223353">
    <w:abstractNumId w:val="12"/>
  </w:num>
  <w:num w:numId="77" w16cid:durableId="635767186">
    <w:abstractNumId w:val="2"/>
    <w:lvlOverride w:ilvl="0">
      <w:startOverride w:val="1"/>
    </w:lvlOverride>
  </w:num>
  <w:num w:numId="78" w16cid:durableId="16852945">
    <w:abstractNumId w:val="38"/>
  </w:num>
  <w:num w:numId="79" w16cid:durableId="935481272">
    <w:abstractNumId w:val="4"/>
  </w:num>
  <w:num w:numId="80" w16cid:durableId="216626389">
    <w:abstractNumId w:val="48"/>
  </w:num>
  <w:num w:numId="81" w16cid:durableId="1484081463">
    <w:abstractNumId w:val="54"/>
  </w:num>
  <w:num w:numId="82" w16cid:durableId="983898351">
    <w:abstractNumId w:val="66"/>
  </w:num>
  <w:num w:numId="83" w16cid:durableId="502815294">
    <w:abstractNumId w:val="46"/>
  </w:num>
  <w:num w:numId="84" w16cid:durableId="560673062">
    <w:abstractNumId w:val="44"/>
  </w:num>
  <w:num w:numId="85" w16cid:durableId="861170811">
    <w:abstractNumId w:val="57"/>
  </w:num>
  <w:num w:numId="86" w16cid:durableId="836454585">
    <w:abstractNumId w:val="34"/>
  </w:num>
  <w:num w:numId="87" w16cid:durableId="1562325866">
    <w:abstractNumId w:val="31"/>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1023"/>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7A06"/>
    <w:rsid w:val="00000208"/>
    <w:rsid w:val="00000645"/>
    <w:rsid w:val="00000CA5"/>
    <w:rsid w:val="000010B3"/>
    <w:rsid w:val="000016F1"/>
    <w:rsid w:val="00001807"/>
    <w:rsid w:val="00001FFE"/>
    <w:rsid w:val="00002173"/>
    <w:rsid w:val="0000220C"/>
    <w:rsid w:val="00002982"/>
    <w:rsid w:val="00002CB5"/>
    <w:rsid w:val="00002EBD"/>
    <w:rsid w:val="0000339A"/>
    <w:rsid w:val="00004316"/>
    <w:rsid w:val="0000476E"/>
    <w:rsid w:val="000047E0"/>
    <w:rsid w:val="000048F5"/>
    <w:rsid w:val="000060A3"/>
    <w:rsid w:val="0000684B"/>
    <w:rsid w:val="00006DAE"/>
    <w:rsid w:val="000074E3"/>
    <w:rsid w:val="00007769"/>
    <w:rsid w:val="00007852"/>
    <w:rsid w:val="000102D5"/>
    <w:rsid w:val="00010518"/>
    <w:rsid w:val="0001174E"/>
    <w:rsid w:val="0001204E"/>
    <w:rsid w:val="00012650"/>
    <w:rsid w:val="00012AA6"/>
    <w:rsid w:val="00012BF6"/>
    <w:rsid w:val="00012E31"/>
    <w:rsid w:val="0001308B"/>
    <w:rsid w:val="00013E6A"/>
    <w:rsid w:val="0001462C"/>
    <w:rsid w:val="000147C5"/>
    <w:rsid w:val="00014A01"/>
    <w:rsid w:val="000152E7"/>
    <w:rsid w:val="0001543F"/>
    <w:rsid w:val="000157AF"/>
    <w:rsid w:val="00015A92"/>
    <w:rsid w:val="00015F4D"/>
    <w:rsid w:val="00016423"/>
    <w:rsid w:val="000169C5"/>
    <w:rsid w:val="00016E05"/>
    <w:rsid w:val="00017358"/>
    <w:rsid w:val="000176A2"/>
    <w:rsid w:val="000179E6"/>
    <w:rsid w:val="00017B4A"/>
    <w:rsid w:val="000200C2"/>
    <w:rsid w:val="00020F0A"/>
    <w:rsid w:val="00021517"/>
    <w:rsid w:val="00021AD7"/>
    <w:rsid w:val="000223C6"/>
    <w:rsid w:val="00022D7A"/>
    <w:rsid w:val="000234C4"/>
    <w:rsid w:val="00023F30"/>
    <w:rsid w:val="00024876"/>
    <w:rsid w:val="00024A20"/>
    <w:rsid w:val="00024F47"/>
    <w:rsid w:val="0002503C"/>
    <w:rsid w:val="0002523F"/>
    <w:rsid w:val="00025E54"/>
    <w:rsid w:val="00026244"/>
    <w:rsid w:val="00026449"/>
    <w:rsid w:val="000266BB"/>
    <w:rsid w:val="0002706C"/>
    <w:rsid w:val="00030AE8"/>
    <w:rsid w:val="00030CA3"/>
    <w:rsid w:val="00030CE1"/>
    <w:rsid w:val="00030F76"/>
    <w:rsid w:val="00031165"/>
    <w:rsid w:val="00031AD7"/>
    <w:rsid w:val="00031E26"/>
    <w:rsid w:val="00031FA8"/>
    <w:rsid w:val="0003408F"/>
    <w:rsid w:val="000340E3"/>
    <w:rsid w:val="0003441E"/>
    <w:rsid w:val="00034440"/>
    <w:rsid w:val="0003450A"/>
    <w:rsid w:val="00034690"/>
    <w:rsid w:val="00034983"/>
    <w:rsid w:val="00034C52"/>
    <w:rsid w:val="00035011"/>
    <w:rsid w:val="000356AF"/>
    <w:rsid w:val="00036193"/>
    <w:rsid w:val="00036434"/>
    <w:rsid w:val="00036E5D"/>
    <w:rsid w:val="00037799"/>
    <w:rsid w:val="00037807"/>
    <w:rsid w:val="00037982"/>
    <w:rsid w:val="00037A72"/>
    <w:rsid w:val="00041711"/>
    <w:rsid w:val="00042D57"/>
    <w:rsid w:val="0004358A"/>
    <w:rsid w:val="00043CDD"/>
    <w:rsid w:val="00043EF2"/>
    <w:rsid w:val="00044279"/>
    <w:rsid w:val="0004481B"/>
    <w:rsid w:val="00044E63"/>
    <w:rsid w:val="000459D9"/>
    <w:rsid w:val="00045DA1"/>
    <w:rsid w:val="00046570"/>
    <w:rsid w:val="00046CC0"/>
    <w:rsid w:val="00046D33"/>
    <w:rsid w:val="000472D6"/>
    <w:rsid w:val="00047465"/>
    <w:rsid w:val="00047A1F"/>
    <w:rsid w:val="0005001C"/>
    <w:rsid w:val="000502F4"/>
    <w:rsid w:val="0005034E"/>
    <w:rsid w:val="00050B75"/>
    <w:rsid w:val="000511E1"/>
    <w:rsid w:val="00051B8A"/>
    <w:rsid w:val="00052672"/>
    <w:rsid w:val="0005311F"/>
    <w:rsid w:val="000532B9"/>
    <w:rsid w:val="000539CC"/>
    <w:rsid w:val="0005430C"/>
    <w:rsid w:val="00054AD6"/>
    <w:rsid w:val="00056175"/>
    <w:rsid w:val="00056571"/>
    <w:rsid w:val="000572BB"/>
    <w:rsid w:val="0005760B"/>
    <w:rsid w:val="00057669"/>
    <w:rsid w:val="000577FE"/>
    <w:rsid w:val="0005781A"/>
    <w:rsid w:val="00060167"/>
    <w:rsid w:val="00060453"/>
    <w:rsid w:val="000607E7"/>
    <w:rsid w:val="00060AAB"/>
    <w:rsid w:val="00060BD5"/>
    <w:rsid w:val="0006113E"/>
    <w:rsid w:val="00062279"/>
    <w:rsid w:val="00062912"/>
    <w:rsid w:val="00062C57"/>
    <w:rsid w:val="00063776"/>
    <w:rsid w:val="00064D60"/>
    <w:rsid w:val="00065233"/>
    <w:rsid w:val="00065829"/>
    <w:rsid w:val="00066031"/>
    <w:rsid w:val="00066248"/>
    <w:rsid w:val="000663E7"/>
    <w:rsid w:val="00066D8A"/>
    <w:rsid w:val="00067402"/>
    <w:rsid w:val="00067DAB"/>
    <w:rsid w:val="00070118"/>
    <w:rsid w:val="000709B7"/>
    <w:rsid w:val="000709F3"/>
    <w:rsid w:val="00070A77"/>
    <w:rsid w:val="00071347"/>
    <w:rsid w:val="0007342E"/>
    <w:rsid w:val="000735DD"/>
    <w:rsid w:val="00073B32"/>
    <w:rsid w:val="000747ED"/>
    <w:rsid w:val="00074A4D"/>
    <w:rsid w:val="00075367"/>
    <w:rsid w:val="00075F55"/>
    <w:rsid w:val="0007683E"/>
    <w:rsid w:val="000777DB"/>
    <w:rsid w:val="00077808"/>
    <w:rsid w:val="00080981"/>
    <w:rsid w:val="00080C34"/>
    <w:rsid w:val="00081DCB"/>
    <w:rsid w:val="00081E1E"/>
    <w:rsid w:val="0008207C"/>
    <w:rsid w:val="00082148"/>
    <w:rsid w:val="000824D9"/>
    <w:rsid w:val="00082622"/>
    <w:rsid w:val="000827B8"/>
    <w:rsid w:val="00082B53"/>
    <w:rsid w:val="00082D95"/>
    <w:rsid w:val="000836C7"/>
    <w:rsid w:val="00083AA6"/>
    <w:rsid w:val="000843BF"/>
    <w:rsid w:val="0008459B"/>
    <w:rsid w:val="00084BF3"/>
    <w:rsid w:val="0008582D"/>
    <w:rsid w:val="00085945"/>
    <w:rsid w:val="00085AAA"/>
    <w:rsid w:val="00085B18"/>
    <w:rsid w:val="0008655D"/>
    <w:rsid w:val="000869AD"/>
    <w:rsid w:val="00086D72"/>
    <w:rsid w:val="00086D96"/>
    <w:rsid w:val="00086EAA"/>
    <w:rsid w:val="00087402"/>
    <w:rsid w:val="0008740A"/>
    <w:rsid w:val="00087602"/>
    <w:rsid w:val="00087BBC"/>
    <w:rsid w:val="00090850"/>
    <w:rsid w:val="00090C98"/>
    <w:rsid w:val="00090FA1"/>
    <w:rsid w:val="000912CC"/>
    <w:rsid w:val="000913DD"/>
    <w:rsid w:val="000921F5"/>
    <w:rsid w:val="00092466"/>
    <w:rsid w:val="00092484"/>
    <w:rsid w:val="0009352E"/>
    <w:rsid w:val="00093936"/>
    <w:rsid w:val="00095878"/>
    <w:rsid w:val="00095F4C"/>
    <w:rsid w:val="00096384"/>
    <w:rsid w:val="00096692"/>
    <w:rsid w:val="000966E5"/>
    <w:rsid w:val="00096BE1"/>
    <w:rsid w:val="00096E0C"/>
    <w:rsid w:val="00097056"/>
    <w:rsid w:val="0009726B"/>
    <w:rsid w:val="000975E0"/>
    <w:rsid w:val="00097904"/>
    <w:rsid w:val="00097A64"/>
    <w:rsid w:val="00097B29"/>
    <w:rsid w:val="000A02DD"/>
    <w:rsid w:val="000A1064"/>
    <w:rsid w:val="000A10B9"/>
    <w:rsid w:val="000A1E13"/>
    <w:rsid w:val="000A1F63"/>
    <w:rsid w:val="000A243A"/>
    <w:rsid w:val="000A2712"/>
    <w:rsid w:val="000A369D"/>
    <w:rsid w:val="000A3837"/>
    <w:rsid w:val="000A3D51"/>
    <w:rsid w:val="000A44CD"/>
    <w:rsid w:val="000A4D3E"/>
    <w:rsid w:val="000A62DB"/>
    <w:rsid w:val="000A69B8"/>
    <w:rsid w:val="000A69D0"/>
    <w:rsid w:val="000A6D7D"/>
    <w:rsid w:val="000A6FC6"/>
    <w:rsid w:val="000A77D4"/>
    <w:rsid w:val="000A7FD1"/>
    <w:rsid w:val="000B1C18"/>
    <w:rsid w:val="000B1D09"/>
    <w:rsid w:val="000B2089"/>
    <w:rsid w:val="000B3509"/>
    <w:rsid w:val="000B3822"/>
    <w:rsid w:val="000B3E6E"/>
    <w:rsid w:val="000B4BA5"/>
    <w:rsid w:val="000B4BEC"/>
    <w:rsid w:val="000B509C"/>
    <w:rsid w:val="000B5598"/>
    <w:rsid w:val="000B6922"/>
    <w:rsid w:val="000B749A"/>
    <w:rsid w:val="000B79D8"/>
    <w:rsid w:val="000B7CB5"/>
    <w:rsid w:val="000B7EE5"/>
    <w:rsid w:val="000C00AD"/>
    <w:rsid w:val="000C04B5"/>
    <w:rsid w:val="000C083A"/>
    <w:rsid w:val="000C1798"/>
    <w:rsid w:val="000C1B01"/>
    <w:rsid w:val="000C1B70"/>
    <w:rsid w:val="000C207F"/>
    <w:rsid w:val="000C2EA2"/>
    <w:rsid w:val="000C2F0A"/>
    <w:rsid w:val="000C39E8"/>
    <w:rsid w:val="000C4591"/>
    <w:rsid w:val="000C46C1"/>
    <w:rsid w:val="000C605E"/>
    <w:rsid w:val="000C62C6"/>
    <w:rsid w:val="000C685B"/>
    <w:rsid w:val="000C6C92"/>
    <w:rsid w:val="000C7CAF"/>
    <w:rsid w:val="000D0B20"/>
    <w:rsid w:val="000D0F6F"/>
    <w:rsid w:val="000D1620"/>
    <w:rsid w:val="000D1813"/>
    <w:rsid w:val="000D29CB"/>
    <w:rsid w:val="000D32D0"/>
    <w:rsid w:val="000D4821"/>
    <w:rsid w:val="000D5723"/>
    <w:rsid w:val="000D5BA3"/>
    <w:rsid w:val="000D60AE"/>
    <w:rsid w:val="000D73E8"/>
    <w:rsid w:val="000D7C8B"/>
    <w:rsid w:val="000E0229"/>
    <w:rsid w:val="000E1850"/>
    <w:rsid w:val="000E1909"/>
    <w:rsid w:val="000E1ED2"/>
    <w:rsid w:val="000E2139"/>
    <w:rsid w:val="000E226E"/>
    <w:rsid w:val="000E2B35"/>
    <w:rsid w:val="000E2BDE"/>
    <w:rsid w:val="000E3B9A"/>
    <w:rsid w:val="000E4131"/>
    <w:rsid w:val="000E42FC"/>
    <w:rsid w:val="000E4EEA"/>
    <w:rsid w:val="000E5BAB"/>
    <w:rsid w:val="000E5D17"/>
    <w:rsid w:val="000E6E09"/>
    <w:rsid w:val="000E78D2"/>
    <w:rsid w:val="000F00DC"/>
    <w:rsid w:val="000F03C1"/>
    <w:rsid w:val="000F053C"/>
    <w:rsid w:val="000F064A"/>
    <w:rsid w:val="000F0BD6"/>
    <w:rsid w:val="000F19D2"/>
    <w:rsid w:val="000F1A77"/>
    <w:rsid w:val="000F23E3"/>
    <w:rsid w:val="000F3A6C"/>
    <w:rsid w:val="000F3B4C"/>
    <w:rsid w:val="000F3EF5"/>
    <w:rsid w:val="000F4134"/>
    <w:rsid w:val="000F4D6F"/>
    <w:rsid w:val="000F61F5"/>
    <w:rsid w:val="000F6EA3"/>
    <w:rsid w:val="000F74E7"/>
    <w:rsid w:val="000F755A"/>
    <w:rsid w:val="000F78E9"/>
    <w:rsid w:val="000F7D41"/>
    <w:rsid w:val="00100E0C"/>
    <w:rsid w:val="0010109A"/>
    <w:rsid w:val="001022B0"/>
    <w:rsid w:val="00102819"/>
    <w:rsid w:val="00103175"/>
    <w:rsid w:val="00103877"/>
    <w:rsid w:val="00103986"/>
    <w:rsid w:val="00104D04"/>
    <w:rsid w:val="00105010"/>
    <w:rsid w:val="0010522C"/>
    <w:rsid w:val="00105F03"/>
    <w:rsid w:val="0010658C"/>
    <w:rsid w:val="0010679C"/>
    <w:rsid w:val="00106A41"/>
    <w:rsid w:val="00106C1C"/>
    <w:rsid w:val="00106D55"/>
    <w:rsid w:val="00106DD4"/>
    <w:rsid w:val="00107209"/>
    <w:rsid w:val="00107542"/>
    <w:rsid w:val="00107569"/>
    <w:rsid w:val="00107AB2"/>
    <w:rsid w:val="00107FC0"/>
    <w:rsid w:val="001100C3"/>
    <w:rsid w:val="0011015B"/>
    <w:rsid w:val="00110563"/>
    <w:rsid w:val="00110F1B"/>
    <w:rsid w:val="0011115D"/>
    <w:rsid w:val="0011164E"/>
    <w:rsid w:val="00111AA2"/>
    <w:rsid w:val="00112417"/>
    <w:rsid w:val="00112493"/>
    <w:rsid w:val="00112EAE"/>
    <w:rsid w:val="001131A0"/>
    <w:rsid w:val="00113C97"/>
    <w:rsid w:val="00114007"/>
    <w:rsid w:val="001143A8"/>
    <w:rsid w:val="00114D9E"/>
    <w:rsid w:val="0011571E"/>
    <w:rsid w:val="001158A4"/>
    <w:rsid w:val="00115B13"/>
    <w:rsid w:val="00115C9F"/>
    <w:rsid w:val="00116EA1"/>
    <w:rsid w:val="00117752"/>
    <w:rsid w:val="00120305"/>
    <w:rsid w:val="00120638"/>
    <w:rsid w:val="0012078E"/>
    <w:rsid w:val="00120816"/>
    <w:rsid w:val="00120B30"/>
    <w:rsid w:val="00121024"/>
    <w:rsid w:val="001228B9"/>
    <w:rsid w:val="00122DAB"/>
    <w:rsid w:val="00123EC1"/>
    <w:rsid w:val="00124061"/>
    <w:rsid w:val="00124285"/>
    <w:rsid w:val="0012438C"/>
    <w:rsid w:val="00124A5F"/>
    <w:rsid w:val="001256B6"/>
    <w:rsid w:val="001258BC"/>
    <w:rsid w:val="00125F6C"/>
    <w:rsid w:val="001267D8"/>
    <w:rsid w:val="00126831"/>
    <w:rsid w:val="001275A6"/>
    <w:rsid w:val="0012776D"/>
    <w:rsid w:val="00127D8A"/>
    <w:rsid w:val="001302F7"/>
    <w:rsid w:val="0013047B"/>
    <w:rsid w:val="00130CB8"/>
    <w:rsid w:val="00130F6C"/>
    <w:rsid w:val="0013111E"/>
    <w:rsid w:val="00131A7F"/>
    <w:rsid w:val="00131C38"/>
    <w:rsid w:val="001327A5"/>
    <w:rsid w:val="001329CD"/>
    <w:rsid w:val="001336FF"/>
    <w:rsid w:val="00133753"/>
    <w:rsid w:val="00133FAF"/>
    <w:rsid w:val="00135761"/>
    <w:rsid w:val="001357D8"/>
    <w:rsid w:val="00135A01"/>
    <w:rsid w:val="00136218"/>
    <w:rsid w:val="0013642A"/>
    <w:rsid w:val="00136637"/>
    <w:rsid w:val="0013672F"/>
    <w:rsid w:val="00136E7B"/>
    <w:rsid w:val="00137CA2"/>
    <w:rsid w:val="00137FA1"/>
    <w:rsid w:val="00140180"/>
    <w:rsid w:val="00140197"/>
    <w:rsid w:val="00140EA8"/>
    <w:rsid w:val="00141600"/>
    <w:rsid w:val="001446C2"/>
    <w:rsid w:val="001448DF"/>
    <w:rsid w:val="001456CC"/>
    <w:rsid w:val="00145A89"/>
    <w:rsid w:val="0014673C"/>
    <w:rsid w:val="001467CA"/>
    <w:rsid w:val="00146C9C"/>
    <w:rsid w:val="00146F26"/>
    <w:rsid w:val="00147B8B"/>
    <w:rsid w:val="001501E8"/>
    <w:rsid w:val="00151AFE"/>
    <w:rsid w:val="00151C29"/>
    <w:rsid w:val="001536C4"/>
    <w:rsid w:val="00153E4E"/>
    <w:rsid w:val="00153F5A"/>
    <w:rsid w:val="001540E1"/>
    <w:rsid w:val="001548F8"/>
    <w:rsid w:val="00154921"/>
    <w:rsid w:val="00154BC9"/>
    <w:rsid w:val="00155579"/>
    <w:rsid w:val="001557FD"/>
    <w:rsid w:val="00155954"/>
    <w:rsid w:val="001559F4"/>
    <w:rsid w:val="001566CD"/>
    <w:rsid w:val="00157871"/>
    <w:rsid w:val="0016083C"/>
    <w:rsid w:val="00160F86"/>
    <w:rsid w:val="00161C02"/>
    <w:rsid w:val="00162AF3"/>
    <w:rsid w:val="00162E31"/>
    <w:rsid w:val="00163856"/>
    <w:rsid w:val="00163EFF"/>
    <w:rsid w:val="00164A32"/>
    <w:rsid w:val="001659C8"/>
    <w:rsid w:val="00165A2F"/>
    <w:rsid w:val="00165C37"/>
    <w:rsid w:val="0016640D"/>
    <w:rsid w:val="00166A66"/>
    <w:rsid w:val="00167EA9"/>
    <w:rsid w:val="001700D9"/>
    <w:rsid w:val="00170C59"/>
    <w:rsid w:val="001718D0"/>
    <w:rsid w:val="00172C70"/>
    <w:rsid w:val="001732F6"/>
    <w:rsid w:val="00173A30"/>
    <w:rsid w:val="00175270"/>
    <w:rsid w:val="00175349"/>
    <w:rsid w:val="0017574D"/>
    <w:rsid w:val="00175972"/>
    <w:rsid w:val="00175C20"/>
    <w:rsid w:val="00176808"/>
    <w:rsid w:val="00176F09"/>
    <w:rsid w:val="00177527"/>
    <w:rsid w:val="00177C62"/>
    <w:rsid w:val="00177DCE"/>
    <w:rsid w:val="0018060B"/>
    <w:rsid w:val="001806AA"/>
    <w:rsid w:val="0018099F"/>
    <w:rsid w:val="00180D64"/>
    <w:rsid w:val="0018104D"/>
    <w:rsid w:val="00181598"/>
    <w:rsid w:val="00181B91"/>
    <w:rsid w:val="00181FA9"/>
    <w:rsid w:val="001822B5"/>
    <w:rsid w:val="0018337A"/>
    <w:rsid w:val="001841E0"/>
    <w:rsid w:val="001848BD"/>
    <w:rsid w:val="00184B80"/>
    <w:rsid w:val="00184C46"/>
    <w:rsid w:val="0018511E"/>
    <w:rsid w:val="001853AC"/>
    <w:rsid w:val="0018672C"/>
    <w:rsid w:val="00186A33"/>
    <w:rsid w:val="00186EDB"/>
    <w:rsid w:val="00186FDB"/>
    <w:rsid w:val="00187393"/>
    <w:rsid w:val="00190266"/>
    <w:rsid w:val="001904BB"/>
    <w:rsid w:val="001904D4"/>
    <w:rsid w:val="00190AB6"/>
    <w:rsid w:val="0019159F"/>
    <w:rsid w:val="00191FCE"/>
    <w:rsid w:val="001926C2"/>
    <w:rsid w:val="00192795"/>
    <w:rsid w:val="00193536"/>
    <w:rsid w:val="00193A1F"/>
    <w:rsid w:val="00193A80"/>
    <w:rsid w:val="00193EBC"/>
    <w:rsid w:val="0019426B"/>
    <w:rsid w:val="00194DEC"/>
    <w:rsid w:val="00195107"/>
    <w:rsid w:val="00195144"/>
    <w:rsid w:val="00195B32"/>
    <w:rsid w:val="001974A3"/>
    <w:rsid w:val="00197831"/>
    <w:rsid w:val="0019794D"/>
    <w:rsid w:val="00197A12"/>
    <w:rsid w:val="001A0A9A"/>
    <w:rsid w:val="001A0C11"/>
    <w:rsid w:val="001A113C"/>
    <w:rsid w:val="001A1167"/>
    <w:rsid w:val="001A12E8"/>
    <w:rsid w:val="001A1BD5"/>
    <w:rsid w:val="001A1C2C"/>
    <w:rsid w:val="001A2F0B"/>
    <w:rsid w:val="001A312C"/>
    <w:rsid w:val="001A3E8F"/>
    <w:rsid w:val="001A3ED9"/>
    <w:rsid w:val="001A41A3"/>
    <w:rsid w:val="001A4872"/>
    <w:rsid w:val="001A5281"/>
    <w:rsid w:val="001A5CBC"/>
    <w:rsid w:val="001A73A5"/>
    <w:rsid w:val="001B02BE"/>
    <w:rsid w:val="001B0328"/>
    <w:rsid w:val="001B03A8"/>
    <w:rsid w:val="001B09B6"/>
    <w:rsid w:val="001B167C"/>
    <w:rsid w:val="001B316C"/>
    <w:rsid w:val="001B3DB2"/>
    <w:rsid w:val="001B5112"/>
    <w:rsid w:val="001B5A9C"/>
    <w:rsid w:val="001B6914"/>
    <w:rsid w:val="001B6FB8"/>
    <w:rsid w:val="001B753B"/>
    <w:rsid w:val="001B7B24"/>
    <w:rsid w:val="001C00E5"/>
    <w:rsid w:val="001C180C"/>
    <w:rsid w:val="001C192D"/>
    <w:rsid w:val="001C1BD6"/>
    <w:rsid w:val="001C20B8"/>
    <w:rsid w:val="001C26D3"/>
    <w:rsid w:val="001C35C6"/>
    <w:rsid w:val="001C3A79"/>
    <w:rsid w:val="001C3C18"/>
    <w:rsid w:val="001C4084"/>
    <w:rsid w:val="001C4404"/>
    <w:rsid w:val="001C4B80"/>
    <w:rsid w:val="001C4D5E"/>
    <w:rsid w:val="001C64AA"/>
    <w:rsid w:val="001C65AD"/>
    <w:rsid w:val="001C6A7C"/>
    <w:rsid w:val="001C6B77"/>
    <w:rsid w:val="001C7159"/>
    <w:rsid w:val="001C7AB9"/>
    <w:rsid w:val="001C7FFC"/>
    <w:rsid w:val="001D0560"/>
    <w:rsid w:val="001D0962"/>
    <w:rsid w:val="001D0F7F"/>
    <w:rsid w:val="001D1501"/>
    <w:rsid w:val="001D160F"/>
    <w:rsid w:val="001D1A5E"/>
    <w:rsid w:val="001D1C47"/>
    <w:rsid w:val="001D3A0D"/>
    <w:rsid w:val="001D3DB8"/>
    <w:rsid w:val="001D458F"/>
    <w:rsid w:val="001D509C"/>
    <w:rsid w:val="001D5248"/>
    <w:rsid w:val="001D6829"/>
    <w:rsid w:val="001D6DF9"/>
    <w:rsid w:val="001D6FF3"/>
    <w:rsid w:val="001D70C6"/>
    <w:rsid w:val="001D744F"/>
    <w:rsid w:val="001E0A70"/>
    <w:rsid w:val="001E108A"/>
    <w:rsid w:val="001E181E"/>
    <w:rsid w:val="001E2785"/>
    <w:rsid w:val="001E345C"/>
    <w:rsid w:val="001E38A6"/>
    <w:rsid w:val="001E38C8"/>
    <w:rsid w:val="001E3E8C"/>
    <w:rsid w:val="001E4B53"/>
    <w:rsid w:val="001E52E5"/>
    <w:rsid w:val="001E5368"/>
    <w:rsid w:val="001E5D29"/>
    <w:rsid w:val="001E61BA"/>
    <w:rsid w:val="001E641F"/>
    <w:rsid w:val="001E7667"/>
    <w:rsid w:val="001E7A6E"/>
    <w:rsid w:val="001F0ADE"/>
    <w:rsid w:val="001F1195"/>
    <w:rsid w:val="001F16C1"/>
    <w:rsid w:val="001F197E"/>
    <w:rsid w:val="001F2ACD"/>
    <w:rsid w:val="001F339E"/>
    <w:rsid w:val="001F3EAD"/>
    <w:rsid w:val="001F4038"/>
    <w:rsid w:val="001F4150"/>
    <w:rsid w:val="001F69B0"/>
    <w:rsid w:val="001F6F30"/>
    <w:rsid w:val="001F7067"/>
    <w:rsid w:val="001F72AC"/>
    <w:rsid w:val="001F7640"/>
    <w:rsid w:val="001F76FB"/>
    <w:rsid w:val="00200F77"/>
    <w:rsid w:val="00201261"/>
    <w:rsid w:val="002017A7"/>
    <w:rsid w:val="00201C8A"/>
    <w:rsid w:val="0020289A"/>
    <w:rsid w:val="0020372C"/>
    <w:rsid w:val="00203A8D"/>
    <w:rsid w:val="00203B8B"/>
    <w:rsid w:val="00203D63"/>
    <w:rsid w:val="00205DD7"/>
    <w:rsid w:val="002060B3"/>
    <w:rsid w:val="00206322"/>
    <w:rsid w:val="00206626"/>
    <w:rsid w:val="00206AB2"/>
    <w:rsid w:val="002071B0"/>
    <w:rsid w:val="00207A00"/>
    <w:rsid w:val="00207D1D"/>
    <w:rsid w:val="00207FC0"/>
    <w:rsid w:val="00207FEB"/>
    <w:rsid w:val="002101CF"/>
    <w:rsid w:val="002103F1"/>
    <w:rsid w:val="00210494"/>
    <w:rsid w:val="00210B8C"/>
    <w:rsid w:val="00210EDA"/>
    <w:rsid w:val="00210EE2"/>
    <w:rsid w:val="002111B5"/>
    <w:rsid w:val="0021164B"/>
    <w:rsid w:val="00211A70"/>
    <w:rsid w:val="00211E34"/>
    <w:rsid w:val="00213B68"/>
    <w:rsid w:val="00213F9B"/>
    <w:rsid w:val="00214698"/>
    <w:rsid w:val="002147A3"/>
    <w:rsid w:val="00216566"/>
    <w:rsid w:val="00216C30"/>
    <w:rsid w:val="00217602"/>
    <w:rsid w:val="00217AAA"/>
    <w:rsid w:val="00220511"/>
    <w:rsid w:val="002207C9"/>
    <w:rsid w:val="00221A04"/>
    <w:rsid w:val="00221AAB"/>
    <w:rsid w:val="002228D2"/>
    <w:rsid w:val="00222C1D"/>
    <w:rsid w:val="00222F84"/>
    <w:rsid w:val="00224211"/>
    <w:rsid w:val="00224905"/>
    <w:rsid w:val="00225326"/>
    <w:rsid w:val="00225DBF"/>
    <w:rsid w:val="00225FA0"/>
    <w:rsid w:val="00226019"/>
    <w:rsid w:val="002269D9"/>
    <w:rsid w:val="00226E6C"/>
    <w:rsid w:val="00226EB1"/>
    <w:rsid w:val="00227298"/>
    <w:rsid w:val="00227740"/>
    <w:rsid w:val="00227A00"/>
    <w:rsid w:val="002301EE"/>
    <w:rsid w:val="00230947"/>
    <w:rsid w:val="00231087"/>
    <w:rsid w:val="002310DA"/>
    <w:rsid w:val="00231ABA"/>
    <w:rsid w:val="00231BCE"/>
    <w:rsid w:val="00231E49"/>
    <w:rsid w:val="00232362"/>
    <w:rsid w:val="00232A44"/>
    <w:rsid w:val="00233154"/>
    <w:rsid w:val="00233CEE"/>
    <w:rsid w:val="00233FD1"/>
    <w:rsid w:val="00234346"/>
    <w:rsid w:val="00234CD9"/>
    <w:rsid w:val="00235C9E"/>
    <w:rsid w:val="00235F49"/>
    <w:rsid w:val="0023622D"/>
    <w:rsid w:val="00236381"/>
    <w:rsid w:val="0023685F"/>
    <w:rsid w:val="00236BF3"/>
    <w:rsid w:val="0023704F"/>
    <w:rsid w:val="002374AE"/>
    <w:rsid w:val="00237932"/>
    <w:rsid w:val="00237939"/>
    <w:rsid w:val="00237A27"/>
    <w:rsid w:val="00237D53"/>
    <w:rsid w:val="00240DF6"/>
    <w:rsid w:val="00241AB4"/>
    <w:rsid w:val="00242603"/>
    <w:rsid w:val="002431FB"/>
    <w:rsid w:val="00243DA7"/>
    <w:rsid w:val="00243EDE"/>
    <w:rsid w:val="002440E5"/>
    <w:rsid w:val="00244E97"/>
    <w:rsid w:val="00245346"/>
    <w:rsid w:val="00245B63"/>
    <w:rsid w:val="00245CB7"/>
    <w:rsid w:val="00246239"/>
    <w:rsid w:val="002472D9"/>
    <w:rsid w:val="002479A0"/>
    <w:rsid w:val="00247B94"/>
    <w:rsid w:val="00247EA9"/>
    <w:rsid w:val="00247F9F"/>
    <w:rsid w:val="00250023"/>
    <w:rsid w:val="002507CB"/>
    <w:rsid w:val="002508AA"/>
    <w:rsid w:val="00251377"/>
    <w:rsid w:val="00251B7B"/>
    <w:rsid w:val="0025254F"/>
    <w:rsid w:val="00252BFC"/>
    <w:rsid w:val="0025326A"/>
    <w:rsid w:val="0025360A"/>
    <w:rsid w:val="00253FA4"/>
    <w:rsid w:val="00254699"/>
    <w:rsid w:val="00254A07"/>
    <w:rsid w:val="002553D8"/>
    <w:rsid w:val="002554E0"/>
    <w:rsid w:val="002556D4"/>
    <w:rsid w:val="00255B82"/>
    <w:rsid w:val="00255F11"/>
    <w:rsid w:val="00256258"/>
    <w:rsid w:val="0025680E"/>
    <w:rsid w:val="00257178"/>
    <w:rsid w:val="00257E11"/>
    <w:rsid w:val="002603C8"/>
    <w:rsid w:val="00260B04"/>
    <w:rsid w:val="00261887"/>
    <w:rsid w:val="00261DCA"/>
    <w:rsid w:val="00261F9E"/>
    <w:rsid w:val="00262069"/>
    <w:rsid w:val="002623A3"/>
    <w:rsid w:val="002623BC"/>
    <w:rsid w:val="00262659"/>
    <w:rsid w:val="00263159"/>
    <w:rsid w:val="00263E2D"/>
    <w:rsid w:val="00264469"/>
    <w:rsid w:val="002646EF"/>
    <w:rsid w:val="00264E0F"/>
    <w:rsid w:val="0026538B"/>
    <w:rsid w:val="00265450"/>
    <w:rsid w:val="0026594C"/>
    <w:rsid w:val="00265986"/>
    <w:rsid w:val="002659FE"/>
    <w:rsid w:val="00265A91"/>
    <w:rsid w:val="00265BB0"/>
    <w:rsid w:val="00265CA4"/>
    <w:rsid w:val="002673CD"/>
    <w:rsid w:val="002679C1"/>
    <w:rsid w:val="00267E80"/>
    <w:rsid w:val="0027055D"/>
    <w:rsid w:val="002705AF"/>
    <w:rsid w:val="00270AD8"/>
    <w:rsid w:val="00271EF8"/>
    <w:rsid w:val="00272FA7"/>
    <w:rsid w:val="00273629"/>
    <w:rsid w:val="00273783"/>
    <w:rsid w:val="00273F57"/>
    <w:rsid w:val="00274283"/>
    <w:rsid w:val="0027469A"/>
    <w:rsid w:val="00274AB2"/>
    <w:rsid w:val="00274B7D"/>
    <w:rsid w:val="00274E9A"/>
    <w:rsid w:val="00275B6B"/>
    <w:rsid w:val="00275F4B"/>
    <w:rsid w:val="00276601"/>
    <w:rsid w:val="002770C4"/>
    <w:rsid w:val="00281416"/>
    <w:rsid w:val="00281C81"/>
    <w:rsid w:val="00282085"/>
    <w:rsid w:val="00283330"/>
    <w:rsid w:val="00283417"/>
    <w:rsid w:val="002847B4"/>
    <w:rsid w:val="002849E4"/>
    <w:rsid w:val="00284CB0"/>
    <w:rsid w:val="00285018"/>
    <w:rsid w:val="00285253"/>
    <w:rsid w:val="002852AC"/>
    <w:rsid w:val="00286542"/>
    <w:rsid w:val="00286B22"/>
    <w:rsid w:val="00286BE9"/>
    <w:rsid w:val="00286BF3"/>
    <w:rsid w:val="00286F14"/>
    <w:rsid w:val="00287187"/>
    <w:rsid w:val="0028760F"/>
    <w:rsid w:val="00287C77"/>
    <w:rsid w:val="00290B6D"/>
    <w:rsid w:val="00290D7D"/>
    <w:rsid w:val="0029109A"/>
    <w:rsid w:val="0029123B"/>
    <w:rsid w:val="00291DE5"/>
    <w:rsid w:val="00292130"/>
    <w:rsid w:val="0029214F"/>
    <w:rsid w:val="00292333"/>
    <w:rsid w:val="002929FD"/>
    <w:rsid w:val="00292DEC"/>
    <w:rsid w:val="00293624"/>
    <w:rsid w:val="002937FC"/>
    <w:rsid w:val="00293BED"/>
    <w:rsid w:val="00293C7E"/>
    <w:rsid w:val="00294529"/>
    <w:rsid w:val="00294B19"/>
    <w:rsid w:val="00294DFA"/>
    <w:rsid w:val="00295582"/>
    <w:rsid w:val="002959B1"/>
    <w:rsid w:val="00295B08"/>
    <w:rsid w:val="00295C7C"/>
    <w:rsid w:val="00295D56"/>
    <w:rsid w:val="00296DCB"/>
    <w:rsid w:val="00296E4B"/>
    <w:rsid w:val="00296FDC"/>
    <w:rsid w:val="002A0127"/>
    <w:rsid w:val="002A02BA"/>
    <w:rsid w:val="002A065E"/>
    <w:rsid w:val="002A077F"/>
    <w:rsid w:val="002A0A57"/>
    <w:rsid w:val="002A17AD"/>
    <w:rsid w:val="002A185C"/>
    <w:rsid w:val="002A228B"/>
    <w:rsid w:val="002A2DB4"/>
    <w:rsid w:val="002A378E"/>
    <w:rsid w:val="002A4CA6"/>
    <w:rsid w:val="002A4D2D"/>
    <w:rsid w:val="002A54A5"/>
    <w:rsid w:val="002A7208"/>
    <w:rsid w:val="002A72CA"/>
    <w:rsid w:val="002A7739"/>
    <w:rsid w:val="002B0943"/>
    <w:rsid w:val="002B17F4"/>
    <w:rsid w:val="002B202B"/>
    <w:rsid w:val="002B252B"/>
    <w:rsid w:val="002B26A2"/>
    <w:rsid w:val="002B2732"/>
    <w:rsid w:val="002B3D5C"/>
    <w:rsid w:val="002B4F39"/>
    <w:rsid w:val="002B57B1"/>
    <w:rsid w:val="002B5D13"/>
    <w:rsid w:val="002B6560"/>
    <w:rsid w:val="002B6D77"/>
    <w:rsid w:val="002B6EB2"/>
    <w:rsid w:val="002B7296"/>
    <w:rsid w:val="002C03DB"/>
    <w:rsid w:val="002C0515"/>
    <w:rsid w:val="002C0A24"/>
    <w:rsid w:val="002C112A"/>
    <w:rsid w:val="002C19A4"/>
    <w:rsid w:val="002C2404"/>
    <w:rsid w:val="002C2525"/>
    <w:rsid w:val="002C2C63"/>
    <w:rsid w:val="002C37ED"/>
    <w:rsid w:val="002C3978"/>
    <w:rsid w:val="002C4005"/>
    <w:rsid w:val="002C4725"/>
    <w:rsid w:val="002C4B01"/>
    <w:rsid w:val="002C5C10"/>
    <w:rsid w:val="002C5E36"/>
    <w:rsid w:val="002C609A"/>
    <w:rsid w:val="002C7CBF"/>
    <w:rsid w:val="002D0C0F"/>
    <w:rsid w:val="002D1226"/>
    <w:rsid w:val="002D1947"/>
    <w:rsid w:val="002D1E08"/>
    <w:rsid w:val="002D3047"/>
    <w:rsid w:val="002D4F8C"/>
    <w:rsid w:val="002D5AF5"/>
    <w:rsid w:val="002D5E62"/>
    <w:rsid w:val="002D6355"/>
    <w:rsid w:val="002D63E9"/>
    <w:rsid w:val="002D64F1"/>
    <w:rsid w:val="002D699D"/>
    <w:rsid w:val="002D6B1E"/>
    <w:rsid w:val="002D6E7D"/>
    <w:rsid w:val="002D7DD6"/>
    <w:rsid w:val="002E002A"/>
    <w:rsid w:val="002E0687"/>
    <w:rsid w:val="002E0E58"/>
    <w:rsid w:val="002E12AE"/>
    <w:rsid w:val="002E1FBF"/>
    <w:rsid w:val="002E2553"/>
    <w:rsid w:val="002E2B76"/>
    <w:rsid w:val="002E2B8F"/>
    <w:rsid w:val="002E31E8"/>
    <w:rsid w:val="002E3B92"/>
    <w:rsid w:val="002E3C5A"/>
    <w:rsid w:val="002E4270"/>
    <w:rsid w:val="002E43BC"/>
    <w:rsid w:val="002E4AE1"/>
    <w:rsid w:val="002E592E"/>
    <w:rsid w:val="002E622D"/>
    <w:rsid w:val="002E64E0"/>
    <w:rsid w:val="002E6F22"/>
    <w:rsid w:val="002E75C8"/>
    <w:rsid w:val="002E7C78"/>
    <w:rsid w:val="002F0413"/>
    <w:rsid w:val="002F0BA4"/>
    <w:rsid w:val="002F0D59"/>
    <w:rsid w:val="002F0EAA"/>
    <w:rsid w:val="002F1872"/>
    <w:rsid w:val="002F1E61"/>
    <w:rsid w:val="002F1FD9"/>
    <w:rsid w:val="002F2BE0"/>
    <w:rsid w:val="002F34E0"/>
    <w:rsid w:val="002F41BB"/>
    <w:rsid w:val="002F452D"/>
    <w:rsid w:val="002F48D1"/>
    <w:rsid w:val="002F4E58"/>
    <w:rsid w:val="002F54DC"/>
    <w:rsid w:val="002F67ED"/>
    <w:rsid w:val="002F6850"/>
    <w:rsid w:val="002F6C58"/>
    <w:rsid w:val="002F6E31"/>
    <w:rsid w:val="00300238"/>
    <w:rsid w:val="003008F0"/>
    <w:rsid w:val="00301923"/>
    <w:rsid w:val="00301E2A"/>
    <w:rsid w:val="00301EB1"/>
    <w:rsid w:val="00302402"/>
    <w:rsid w:val="00302BBA"/>
    <w:rsid w:val="00302C15"/>
    <w:rsid w:val="00302C72"/>
    <w:rsid w:val="00303460"/>
    <w:rsid w:val="00303B33"/>
    <w:rsid w:val="00303C44"/>
    <w:rsid w:val="0030400C"/>
    <w:rsid w:val="0030408F"/>
    <w:rsid w:val="0030507A"/>
    <w:rsid w:val="00305283"/>
    <w:rsid w:val="003056C7"/>
    <w:rsid w:val="003057B0"/>
    <w:rsid w:val="00305A6E"/>
    <w:rsid w:val="0030657F"/>
    <w:rsid w:val="003079C0"/>
    <w:rsid w:val="00307C79"/>
    <w:rsid w:val="00310672"/>
    <w:rsid w:val="00310B36"/>
    <w:rsid w:val="003117A1"/>
    <w:rsid w:val="00311B71"/>
    <w:rsid w:val="00311DF0"/>
    <w:rsid w:val="00311F06"/>
    <w:rsid w:val="00312872"/>
    <w:rsid w:val="0031440F"/>
    <w:rsid w:val="00315A1E"/>
    <w:rsid w:val="00315B44"/>
    <w:rsid w:val="00315FDA"/>
    <w:rsid w:val="003163BF"/>
    <w:rsid w:val="00316E24"/>
    <w:rsid w:val="0031769C"/>
    <w:rsid w:val="00320006"/>
    <w:rsid w:val="00320824"/>
    <w:rsid w:val="003209AC"/>
    <w:rsid w:val="00320CE9"/>
    <w:rsid w:val="00321043"/>
    <w:rsid w:val="0032130B"/>
    <w:rsid w:val="00321380"/>
    <w:rsid w:val="00321A67"/>
    <w:rsid w:val="003223D8"/>
    <w:rsid w:val="0032246C"/>
    <w:rsid w:val="003228FA"/>
    <w:rsid w:val="00322B24"/>
    <w:rsid w:val="00323133"/>
    <w:rsid w:val="003238F5"/>
    <w:rsid w:val="00323B4D"/>
    <w:rsid w:val="00324C3E"/>
    <w:rsid w:val="00324C4D"/>
    <w:rsid w:val="003250C7"/>
    <w:rsid w:val="00325CA2"/>
    <w:rsid w:val="003260FB"/>
    <w:rsid w:val="00326467"/>
    <w:rsid w:val="0032697C"/>
    <w:rsid w:val="00326E96"/>
    <w:rsid w:val="003303D5"/>
    <w:rsid w:val="00330746"/>
    <w:rsid w:val="003307FA"/>
    <w:rsid w:val="00330840"/>
    <w:rsid w:val="00330953"/>
    <w:rsid w:val="00330B6D"/>
    <w:rsid w:val="0033104B"/>
    <w:rsid w:val="00331108"/>
    <w:rsid w:val="00331206"/>
    <w:rsid w:val="003319F6"/>
    <w:rsid w:val="00332B04"/>
    <w:rsid w:val="0033324F"/>
    <w:rsid w:val="00333719"/>
    <w:rsid w:val="003342D2"/>
    <w:rsid w:val="00334545"/>
    <w:rsid w:val="003345B1"/>
    <w:rsid w:val="00335920"/>
    <w:rsid w:val="00335B60"/>
    <w:rsid w:val="00336152"/>
    <w:rsid w:val="00336237"/>
    <w:rsid w:val="003368B1"/>
    <w:rsid w:val="00336942"/>
    <w:rsid w:val="00337828"/>
    <w:rsid w:val="00340782"/>
    <w:rsid w:val="00340A9A"/>
    <w:rsid w:val="003413A8"/>
    <w:rsid w:val="00342382"/>
    <w:rsid w:val="00342A08"/>
    <w:rsid w:val="0034472D"/>
    <w:rsid w:val="003456CE"/>
    <w:rsid w:val="0034582D"/>
    <w:rsid w:val="00345D2B"/>
    <w:rsid w:val="0034668A"/>
    <w:rsid w:val="0034687E"/>
    <w:rsid w:val="003468D3"/>
    <w:rsid w:val="0034739A"/>
    <w:rsid w:val="0034795C"/>
    <w:rsid w:val="0035004B"/>
    <w:rsid w:val="003506B0"/>
    <w:rsid w:val="003511E2"/>
    <w:rsid w:val="003518D5"/>
    <w:rsid w:val="0035257E"/>
    <w:rsid w:val="0035276E"/>
    <w:rsid w:val="00352D08"/>
    <w:rsid w:val="00353A9C"/>
    <w:rsid w:val="00355C9A"/>
    <w:rsid w:val="00355CDF"/>
    <w:rsid w:val="0035625B"/>
    <w:rsid w:val="003562D1"/>
    <w:rsid w:val="0035690E"/>
    <w:rsid w:val="003573C5"/>
    <w:rsid w:val="00357954"/>
    <w:rsid w:val="00357EAE"/>
    <w:rsid w:val="003603EF"/>
    <w:rsid w:val="00360B2E"/>
    <w:rsid w:val="00360BAC"/>
    <w:rsid w:val="00360ED8"/>
    <w:rsid w:val="0036163D"/>
    <w:rsid w:val="0036193E"/>
    <w:rsid w:val="00362854"/>
    <w:rsid w:val="00362933"/>
    <w:rsid w:val="00362BCF"/>
    <w:rsid w:val="00363A39"/>
    <w:rsid w:val="0036442C"/>
    <w:rsid w:val="0036494B"/>
    <w:rsid w:val="00365683"/>
    <w:rsid w:val="00365F99"/>
    <w:rsid w:val="00367B10"/>
    <w:rsid w:val="00367B7C"/>
    <w:rsid w:val="00370E2B"/>
    <w:rsid w:val="003712A3"/>
    <w:rsid w:val="00373BD9"/>
    <w:rsid w:val="00373E6B"/>
    <w:rsid w:val="00374246"/>
    <w:rsid w:val="003745DA"/>
    <w:rsid w:val="00375A29"/>
    <w:rsid w:val="00376586"/>
    <w:rsid w:val="00376DEB"/>
    <w:rsid w:val="0037739D"/>
    <w:rsid w:val="00377497"/>
    <w:rsid w:val="00377CDD"/>
    <w:rsid w:val="00380314"/>
    <w:rsid w:val="00380D5F"/>
    <w:rsid w:val="00381511"/>
    <w:rsid w:val="00381926"/>
    <w:rsid w:val="0038237F"/>
    <w:rsid w:val="003830C2"/>
    <w:rsid w:val="00383294"/>
    <w:rsid w:val="0038379C"/>
    <w:rsid w:val="00383E05"/>
    <w:rsid w:val="003842EA"/>
    <w:rsid w:val="00384342"/>
    <w:rsid w:val="00384678"/>
    <w:rsid w:val="00384C4A"/>
    <w:rsid w:val="00385733"/>
    <w:rsid w:val="00386432"/>
    <w:rsid w:val="0038652D"/>
    <w:rsid w:val="003866A1"/>
    <w:rsid w:val="003879CE"/>
    <w:rsid w:val="00390921"/>
    <w:rsid w:val="00390D37"/>
    <w:rsid w:val="003914BE"/>
    <w:rsid w:val="00391B32"/>
    <w:rsid w:val="00391B87"/>
    <w:rsid w:val="00391F44"/>
    <w:rsid w:val="00392163"/>
    <w:rsid w:val="003922E9"/>
    <w:rsid w:val="003932BF"/>
    <w:rsid w:val="00394A11"/>
    <w:rsid w:val="00395181"/>
    <w:rsid w:val="00395524"/>
    <w:rsid w:val="00395E95"/>
    <w:rsid w:val="003963FC"/>
    <w:rsid w:val="003965DA"/>
    <w:rsid w:val="00396D6A"/>
    <w:rsid w:val="00396EC3"/>
    <w:rsid w:val="00397835"/>
    <w:rsid w:val="003A037D"/>
    <w:rsid w:val="003A1470"/>
    <w:rsid w:val="003A183D"/>
    <w:rsid w:val="003A1ED2"/>
    <w:rsid w:val="003A268D"/>
    <w:rsid w:val="003A2D9D"/>
    <w:rsid w:val="003A2ED3"/>
    <w:rsid w:val="003A300C"/>
    <w:rsid w:val="003A300F"/>
    <w:rsid w:val="003A3036"/>
    <w:rsid w:val="003A3385"/>
    <w:rsid w:val="003A36B2"/>
    <w:rsid w:val="003A4415"/>
    <w:rsid w:val="003A44C9"/>
    <w:rsid w:val="003A465A"/>
    <w:rsid w:val="003A4700"/>
    <w:rsid w:val="003A5FB4"/>
    <w:rsid w:val="003A6245"/>
    <w:rsid w:val="003A68A8"/>
    <w:rsid w:val="003A71EC"/>
    <w:rsid w:val="003B14A8"/>
    <w:rsid w:val="003B156A"/>
    <w:rsid w:val="003B1EFD"/>
    <w:rsid w:val="003B2417"/>
    <w:rsid w:val="003B2436"/>
    <w:rsid w:val="003B24E5"/>
    <w:rsid w:val="003B2C20"/>
    <w:rsid w:val="003B3190"/>
    <w:rsid w:val="003B3574"/>
    <w:rsid w:val="003B3953"/>
    <w:rsid w:val="003B3A6F"/>
    <w:rsid w:val="003B3B69"/>
    <w:rsid w:val="003B4198"/>
    <w:rsid w:val="003B54AA"/>
    <w:rsid w:val="003B5556"/>
    <w:rsid w:val="003B6390"/>
    <w:rsid w:val="003B6656"/>
    <w:rsid w:val="003B6D6A"/>
    <w:rsid w:val="003B7182"/>
    <w:rsid w:val="003B74EF"/>
    <w:rsid w:val="003B7D0F"/>
    <w:rsid w:val="003B7FCA"/>
    <w:rsid w:val="003B7FE7"/>
    <w:rsid w:val="003B7FF9"/>
    <w:rsid w:val="003C0E58"/>
    <w:rsid w:val="003C1530"/>
    <w:rsid w:val="003C19F6"/>
    <w:rsid w:val="003C24AA"/>
    <w:rsid w:val="003C2AB4"/>
    <w:rsid w:val="003C3013"/>
    <w:rsid w:val="003C30CA"/>
    <w:rsid w:val="003C4A6B"/>
    <w:rsid w:val="003C4A9B"/>
    <w:rsid w:val="003C50EB"/>
    <w:rsid w:val="003C5737"/>
    <w:rsid w:val="003C5757"/>
    <w:rsid w:val="003C5930"/>
    <w:rsid w:val="003C60C2"/>
    <w:rsid w:val="003C6225"/>
    <w:rsid w:val="003C64AF"/>
    <w:rsid w:val="003C65FF"/>
    <w:rsid w:val="003C67F9"/>
    <w:rsid w:val="003C6A1D"/>
    <w:rsid w:val="003C7400"/>
    <w:rsid w:val="003D03BA"/>
    <w:rsid w:val="003D0458"/>
    <w:rsid w:val="003D1ACB"/>
    <w:rsid w:val="003D2A6F"/>
    <w:rsid w:val="003D3C6C"/>
    <w:rsid w:val="003D3DC3"/>
    <w:rsid w:val="003D42F9"/>
    <w:rsid w:val="003D4300"/>
    <w:rsid w:val="003D4803"/>
    <w:rsid w:val="003D5886"/>
    <w:rsid w:val="003D6201"/>
    <w:rsid w:val="003D687C"/>
    <w:rsid w:val="003E0F3A"/>
    <w:rsid w:val="003E16BB"/>
    <w:rsid w:val="003E290B"/>
    <w:rsid w:val="003E3B12"/>
    <w:rsid w:val="003E44BE"/>
    <w:rsid w:val="003E49DB"/>
    <w:rsid w:val="003E5280"/>
    <w:rsid w:val="003E5330"/>
    <w:rsid w:val="003E5F91"/>
    <w:rsid w:val="003E65A9"/>
    <w:rsid w:val="003E65F8"/>
    <w:rsid w:val="003E6979"/>
    <w:rsid w:val="003F0CD3"/>
    <w:rsid w:val="003F2F04"/>
    <w:rsid w:val="003F34DF"/>
    <w:rsid w:val="003F4690"/>
    <w:rsid w:val="003F4855"/>
    <w:rsid w:val="003F4E2E"/>
    <w:rsid w:val="003F5A80"/>
    <w:rsid w:val="003F5F93"/>
    <w:rsid w:val="003F690E"/>
    <w:rsid w:val="003F6B29"/>
    <w:rsid w:val="003F6D4A"/>
    <w:rsid w:val="003F74F4"/>
    <w:rsid w:val="003F79F6"/>
    <w:rsid w:val="0040103C"/>
    <w:rsid w:val="0040246E"/>
    <w:rsid w:val="0040314D"/>
    <w:rsid w:val="004032A5"/>
    <w:rsid w:val="004032EB"/>
    <w:rsid w:val="004042A4"/>
    <w:rsid w:val="004042D8"/>
    <w:rsid w:val="004052DE"/>
    <w:rsid w:val="0040568F"/>
    <w:rsid w:val="004056AB"/>
    <w:rsid w:val="00405736"/>
    <w:rsid w:val="00405906"/>
    <w:rsid w:val="00406082"/>
    <w:rsid w:val="00406CAB"/>
    <w:rsid w:val="00407402"/>
    <w:rsid w:val="0041013F"/>
    <w:rsid w:val="00410366"/>
    <w:rsid w:val="00410EB4"/>
    <w:rsid w:val="00410ECC"/>
    <w:rsid w:val="004112B3"/>
    <w:rsid w:val="0041167E"/>
    <w:rsid w:val="00411B7A"/>
    <w:rsid w:val="004130B0"/>
    <w:rsid w:val="00413AE5"/>
    <w:rsid w:val="00414BEE"/>
    <w:rsid w:val="00414D42"/>
    <w:rsid w:val="00415211"/>
    <w:rsid w:val="004152AB"/>
    <w:rsid w:val="00415765"/>
    <w:rsid w:val="0041590E"/>
    <w:rsid w:val="00415F9A"/>
    <w:rsid w:val="004162FD"/>
    <w:rsid w:val="00416B89"/>
    <w:rsid w:val="00417578"/>
    <w:rsid w:val="00417AAB"/>
    <w:rsid w:val="00420158"/>
    <w:rsid w:val="0042019A"/>
    <w:rsid w:val="004208EC"/>
    <w:rsid w:val="00420D41"/>
    <w:rsid w:val="00420DBC"/>
    <w:rsid w:val="00420F7A"/>
    <w:rsid w:val="0042177C"/>
    <w:rsid w:val="00421ADA"/>
    <w:rsid w:val="0042204D"/>
    <w:rsid w:val="004234AB"/>
    <w:rsid w:val="00423BB5"/>
    <w:rsid w:val="00423CB2"/>
    <w:rsid w:val="004240EA"/>
    <w:rsid w:val="00424D3E"/>
    <w:rsid w:val="00424DB1"/>
    <w:rsid w:val="00424E6C"/>
    <w:rsid w:val="0042505F"/>
    <w:rsid w:val="00425765"/>
    <w:rsid w:val="00425F32"/>
    <w:rsid w:val="004265F9"/>
    <w:rsid w:val="004266DE"/>
    <w:rsid w:val="004267C3"/>
    <w:rsid w:val="00426DB2"/>
    <w:rsid w:val="00426F00"/>
    <w:rsid w:val="00427735"/>
    <w:rsid w:val="00427F24"/>
    <w:rsid w:val="00427FE9"/>
    <w:rsid w:val="0043007C"/>
    <w:rsid w:val="0043017C"/>
    <w:rsid w:val="00430400"/>
    <w:rsid w:val="00430834"/>
    <w:rsid w:val="00430AC9"/>
    <w:rsid w:val="00431346"/>
    <w:rsid w:val="00431BED"/>
    <w:rsid w:val="00432013"/>
    <w:rsid w:val="004325F7"/>
    <w:rsid w:val="004328BA"/>
    <w:rsid w:val="00433B67"/>
    <w:rsid w:val="00433DC9"/>
    <w:rsid w:val="004341C2"/>
    <w:rsid w:val="0043519D"/>
    <w:rsid w:val="0043614E"/>
    <w:rsid w:val="00436DB8"/>
    <w:rsid w:val="0043734D"/>
    <w:rsid w:val="00437837"/>
    <w:rsid w:val="00440A92"/>
    <w:rsid w:val="004414FF"/>
    <w:rsid w:val="00441BEC"/>
    <w:rsid w:val="00441D20"/>
    <w:rsid w:val="004427DA"/>
    <w:rsid w:val="00442956"/>
    <w:rsid w:val="00442AF1"/>
    <w:rsid w:val="00442C16"/>
    <w:rsid w:val="00442F08"/>
    <w:rsid w:val="004431DA"/>
    <w:rsid w:val="00443423"/>
    <w:rsid w:val="004438DC"/>
    <w:rsid w:val="0044455D"/>
    <w:rsid w:val="00445290"/>
    <w:rsid w:val="00445BA4"/>
    <w:rsid w:val="00447EE7"/>
    <w:rsid w:val="004507D8"/>
    <w:rsid w:val="00450FEB"/>
    <w:rsid w:val="00451BAC"/>
    <w:rsid w:val="00451FAE"/>
    <w:rsid w:val="00452380"/>
    <w:rsid w:val="00453015"/>
    <w:rsid w:val="0045370B"/>
    <w:rsid w:val="004542A2"/>
    <w:rsid w:val="0045435F"/>
    <w:rsid w:val="004549FC"/>
    <w:rsid w:val="00454C15"/>
    <w:rsid w:val="00455778"/>
    <w:rsid w:val="0045586F"/>
    <w:rsid w:val="00455C71"/>
    <w:rsid w:val="00456312"/>
    <w:rsid w:val="00456C47"/>
    <w:rsid w:val="00456E9B"/>
    <w:rsid w:val="004573C9"/>
    <w:rsid w:val="004574D3"/>
    <w:rsid w:val="00457A3D"/>
    <w:rsid w:val="00457C76"/>
    <w:rsid w:val="0046003F"/>
    <w:rsid w:val="0046070B"/>
    <w:rsid w:val="0046081A"/>
    <w:rsid w:val="00460EBB"/>
    <w:rsid w:val="00461E86"/>
    <w:rsid w:val="00462767"/>
    <w:rsid w:val="00462B41"/>
    <w:rsid w:val="00462CEE"/>
    <w:rsid w:val="00462E5D"/>
    <w:rsid w:val="00463567"/>
    <w:rsid w:val="0046381E"/>
    <w:rsid w:val="00463B64"/>
    <w:rsid w:val="00463C82"/>
    <w:rsid w:val="0046417C"/>
    <w:rsid w:val="00464A49"/>
    <w:rsid w:val="00465238"/>
    <w:rsid w:val="004656C6"/>
    <w:rsid w:val="004658FE"/>
    <w:rsid w:val="00466064"/>
    <w:rsid w:val="004668FA"/>
    <w:rsid w:val="004674DA"/>
    <w:rsid w:val="00467F1E"/>
    <w:rsid w:val="00470705"/>
    <w:rsid w:val="00473398"/>
    <w:rsid w:val="00474122"/>
    <w:rsid w:val="00474176"/>
    <w:rsid w:val="004741FD"/>
    <w:rsid w:val="00474EFC"/>
    <w:rsid w:val="004753A7"/>
    <w:rsid w:val="0047570B"/>
    <w:rsid w:val="00475A1A"/>
    <w:rsid w:val="004763E4"/>
    <w:rsid w:val="00476835"/>
    <w:rsid w:val="00477CE1"/>
    <w:rsid w:val="00477E0C"/>
    <w:rsid w:val="00477F18"/>
    <w:rsid w:val="00477FCF"/>
    <w:rsid w:val="004800BE"/>
    <w:rsid w:val="00480224"/>
    <w:rsid w:val="004805B4"/>
    <w:rsid w:val="00480633"/>
    <w:rsid w:val="0048105B"/>
    <w:rsid w:val="004818B8"/>
    <w:rsid w:val="00482028"/>
    <w:rsid w:val="00482E26"/>
    <w:rsid w:val="00483494"/>
    <w:rsid w:val="004849A6"/>
    <w:rsid w:val="00484AFB"/>
    <w:rsid w:val="004856E8"/>
    <w:rsid w:val="00485A46"/>
    <w:rsid w:val="004869F2"/>
    <w:rsid w:val="00486BA8"/>
    <w:rsid w:val="00486E1F"/>
    <w:rsid w:val="00487BFE"/>
    <w:rsid w:val="0049025C"/>
    <w:rsid w:val="0049051E"/>
    <w:rsid w:val="00490D97"/>
    <w:rsid w:val="00490FEC"/>
    <w:rsid w:val="0049106D"/>
    <w:rsid w:val="004917B9"/>
    <w:rsid w:val="00491D13"/>
    <w:rsid w:val="00492205"/>
    <w:rsid w:val="00492978"/>
    <w:rsid w:val="00493040"/>
    <w:rsid w:val="004935CD"/>
    <w:rsid w:val="0049388D"/>
    <w:rsid w:val="00493E63"/>
    <w:rsid w:val="00493F3D"/>
    <w:rsid w:val="00494713"/>
    <w:rsid w:val="00494E68"/>
    <w:rsid w:val="004972B0"/>
    <w:rsid w:val="0049778C"/>
    <w:rsid w:val="004977CA"/>
    <w:rsid w:val="004A018F"/>
    <w:rsid w:val="004A04D8"/>
    <w:rsid w:val="004A102E"/>
    <w:rsid w:val="004A165A"/>
    <w:rsid w:val="004A1996"/>
    <w:rsid w:val="004A1A0C"/>
    <w:rsid w:val="004A1BD7"/>
    <w:rsid w:val="004A27D1"/>
    <w:rsid w:val="004A3057"/>
    <w:rsid w:val="004A324F"/>
    <w:rsid w:val="004A39D3"/>
    <w:rsid w:val="004A44A5"/>
    <w:rsid w:val="004A4547"/>
    <w:rsid w:val="004A454C"/>
    <w:rsid w:val="004A5036"/>
    <w:rsid w:val="004A5A1A"/>
    <w:rsid w:val="004A6B31"/>
    <w:rsid w:val="004A7390"/>
    <w:rsid w:val="004A7A12"/>
    <w:rsid w:val="004A7A9D"/>
    <w:rsid w:val="004B030F"/>
    <w:rsid w:val="004B058C"/>
    <w:rsid w:val="004B0B70"/>
    <w:rsid w:val="004B12A3"/>
    <w:rsid w:val="004B1793"/>
    <w:rsid w:val="004B20AD"/>
    <w:rsid w:val="004B2925"/>
    <w:rsid w:val="004B3677"/>
    <w:rsid w:val="004B3CAE"/>
    <w:rsid w:val="004B55C3"/>
    <w:rsid w:val="004B5A92"/>
    <w:rsid w:val="004B657E"/>
    <w:rsid w:val="004B6E0B"/>
    <w:rsid w:val="004B6FE4"/>
    <w:rsid w:val="004B75AF"/>
    <w:rsid w:val="004B799D"/>
    <w:rsid w:val="004C07C5"/>
    <w:rsid w:val="004C11F5"/>
    <w:rsid w:val="004C2121"/>
    <w:rsid w:val="004C25AA"/>
    <w:rsid w:val="004C2A06"/>
    <w:rsid w:val="004C2A65"/>
    <w:rsid w:val="004C2CC3"/>
    <w:rsid w:val="004C324D"/>
    <w:rsid w:val="004C4197"/>
    <w:rsid w:val="004C431A"/>
    <w:rsid w:val="004C4E4E"/>
    <w:rsid w:val="004C5CB1"/>
    <w:rsid w:val="004C6AE2"/>
    <w:rsid w:val="004C6D2A"/>
    <w:rsid w:val="004C6F68"/>
    <w:rsid w:val="004C738D"/>
    <w:rsid w:val="004D0083"/>
    <w:rsid w:val="004D0A3B"/>
    <w:rsid w:val="004D0CA7"/>
    <w:rsid w:val="004D0F37"/>
    <w:rsid w:val="004D1E90"/>
    <w:rsid w:val="004D2481"/>
    <w:rsid w:val="004D3E9F"/>
    <w:rsid w:val="004D44D0"/>
    <w:rsid w:val="004D4A14"/>
    <w:rsid w:val="004D5C9B"/>
    <w:rsid w:val="004D5CA4"/>
    <w:rsid w:val="004D74D1"/>
    <w:rsid w:val="004D7915"/>
    <w:rsid w:val="004D7D84"/>
    <w:rsid w:val="004E14C3"/>
    <w:rsid w:val="004E17F6"/>
    <w:rsid w:val="004E20D4"/>
    <w:rsid w:val="004E3BDA"/>
    <w:rsid w:val="004E3D2B"/>
    <w:rsid w:val="004E43AD"/>
    <w:rsid w:val="004E5B72"/>
    <w:rsid w:val="004E5FB9"/>
    <w:rsid w:val="004E6974"/>
    <w:rsid w:val="004E6F9F"/>
    <w:rsid w:val="004E7C21"/>
    <w:rsid w:val="004F0067"/>
    <w:rsid w:val="004F0297"/>
    <w:rsid w:val="004F042A"/>
    <w:rsid w:val="004F111C"/>
    <w:rsid w:val="004F2101"/>
    <w:rsid w:val="004F2424"/>
    <w:rsid w:val="004F2537"/>
    <w:rsid w:val="004F2DF2"/>
    <w:rsid w:val="004F33F2"/>
    <w:rsid w:val="004F36C9"/>
    <w:rsid w:val="004F386F"/>
    <w:rsid w:val="004F41F7"/>
    <w:rsid w:val="004F434E"/>
    <w:rsid w:val="004F4607"/>
    <w:rsid w:val="004F4C43"/>
    <w:rsid w:val="004F52E1"/>
    <w:rsid w:val="004F5BB8"/>
    <w:rsid w:val="004F601E"/>
    <w:rsid w:val="004F6282"/>
    <w:rsid w:val="004F6467"/>
    <w:rsid w:val="004F7087"/>
    <w:rsid w:val="004F70BC"/>
    <w:rsid w:val="004F7D87"/>
    <w:rsid w:val="00501378"/>
    <w:rsid w:val="00501D9F"/>
    <w:rsid w:val="00502AE6"/>
    <w:rsid w:val="00502B31"/>
    <w:rsid w:val="00502FC6"/>
    <w:rsid w:val="00503667"/>
    <w:rsid w:val="00503B03"/>
    <w:rsid w:val="00504379"/>
    <w:rsid w:val="005048DB"/>
    <w:rsid w:val="00504C39"/>
    <w:rsid w:val="005050AA"/>
    <w:rsid w:val="0050537D"/>
    <w:rsid w:val="005054A2"/>
    <w:rsid w:val="005058C5"/>
    <w:rsid w:val="005067B4"/>
    <w:rsid w:val="005069F0"/>
    <w:rsid w:val="00506E24"/>
    <w:rsid w:val="00511326"/>
    <w:rsid w:val="005116A0"/>
    <w:rsid w:val="00511A4A"/>
    <w:rsid w:val="00512972"/>
    <w:rsid w:val="00512AE1"/>
    <w:rsid w:val="0051314A"/>
    <w:rsid w:val="0051318B"/>
    <w:rsid w:val="00513F1E"/>
    <w:rsid w:val="005140A0"/>
    <w:rsid w:val="00514BE0"/>
    <w:rsid w:val="00516035"/>
    <w:rsid w:val="005175F8"/>
    <w:rsid w:val="00517B83"/>
    <w:rsid w:val="00517CB8"/>
    <w:rsid w:val="00517D16"/>
    <w:rsid w:val="00520277"/>
    <w:rsid w:val="0052050C"/>
    <w:rsid w:val="00521E6D"/>
    <w:rsid w:val="00522E7E"/>
    <w:rsid w:val="005232F2"/>
    <w:rsid w:val="0052354E"/>
    <w:rsid w:val="00523614"/>
    <w:rsid w:val="00523B8C"/>
    <w:rsid w:val="00523CB3"/>
    <w:rsid w:val="00526048"/>
    <w:rsid w:val="0052643B"/>
    <w:rsid w:val="005265A3"/>
    <w:rsid w:val="00526627"/>
    <w:rsid w:val="00526A43"/>
    <w:rsid w:val="005272AC"/>
    <w:rsid w:val="00527593"/>
    <w:rsid w:val="00527858"/>
    <w:rsid w:val="005278FC"/>
    <w:rsid w:val="00527CFD"/>
    <w:rsid w:val="0053067E"/>
    <w:rsid w:val="0053075E"/>
    <w:rsid w:val="0053164C"/>
    <w:rsid w:val="005316EC"/>
    <w:rsid w:val="00531E2F"/>
    <w:rsid w:val="00532DD2"/>
    <w:rsid w:val="005345EE"/>
    <w:rsid w:val="00534E28"/>
    <w:rsid w:val="00535FD8"/>
    <w:rsid w:val="0053611F"/>
    <w:rsid w:val="0053659B"/>
    <w:rsid w:val="00536C8A"/>
    <w:rsid w:val="00536CD8"/>
    <w:rsid w:val="00536FFA"/>
    <w:rsid w:val="005374A6"/>
    <w:rsid w:val="0054009D"/>
    <w:rsid w:val="00540CE1"/>
    <w:rsid w:val="00540DC3"/>
    <w:rsid w:val="0054103D"/>
    <w:rsid w:val="005412D1"/>
    <w:rsid w:val="005420CB"/>
    <w:rsid w:val="005421C4"/>
    <w:rsid w:val="005422D7"/>
    <w:rsid w:val="00542DAE"/>
    <w:rsid w:val="00544AEE"/>
    <w:rsid w:val="00544F9D"/>
    <w:rsid w:val="00545783"/>
    <w:rsid w:val="00545E44"/>
    <w:rsid w:val="0054685E"/>
    <w:rsid w:val="0054705A"/>
    <w:rsid w:val="00550477"/>
    <w:rsid w:val="005505DD"/>
    <w:rsid w:val="00550C2D"/>
    <w:rsid w:val="00550FB9"/>
    <w:rsid w:val="0055151F"/>
    <w:rsid w:val="00551651"/>
    <w:rsid w:val="005518A7"/>
    <w:rsid w:val="005519F2"/>
    <w:rsid w:val="005530E8"/>
    <w:rsid w:val="005534B9"/>
    <w:rsid w:val="00553612"/>
    <w:rsid w:val="00553BF4"/>
    <w:rsid w:val="00554DCD"/>
    <w:rsid w:val="00555261"/>
    <w:rsid w:val="005552A1"/>
    <w:rsid w:val="005559EF"/>
    <w:rsid w:val="00555B46"/>
    <w:rsid w:val="00555DB1"/>
    <w:rsid w:val="00556937"/>
    <w:rsid w:val="00556B80"/>
    <w:rsid w:val="00557A2A"/>
    <w:rsid w:val="00560D91"/>
    <w:rsid w:val="005624D5"/>
    <w:rsid w:val="00562572"/>
    <w:rsid w:val="00564494"/>
    <w:rsid w:val="0056514D"/>
    <w:rsid w:val="005658D9"/>
    <w:rsid w:val="0056591D"/>
    <w:rsid w:val="00566242"/>
    <w:rsid w:val="00566625"/>
    <w:rsid w:val="00566912"/>
    <w:rsid w:val="00566A90"/>
    <w:rsid w:val="00567325"/>
    <w:rsid w:val="00567689"/>
    <w:rsid w:val="00567DE9"/>
    <w:rsid w:val="00570EC8"/>
    <w:rsid w:val="005716E6"/>
    <w:rsid w:val="00572657"/>
    <w:rsid w:val="005730D0"/>
    <w:rsid w:val="00573203"/>
    <w:rsid w:val="0057432C"/>
    <w:rsid w:val="0057482B"/>
    <w:rsid w:val="00575251"/>
    <w:rsid w:val="00575285"/>
    <w:rsid w:val="00575959"/>
    <w:rsid w:val="00575B71"/>
    <w:rsid w:val="00576A49"/>
    <w:rsid w:val="005777ED"/>
    <w:rsid w:val="0058015D"/>
    <w:rsid w:val="00580AF3"/>
    <w:rsid w:val="00581164"/>
    <w:rsid w:val="005813F8"/>
    <w:rsid w:val="005815E3"/>
    <w:rsid w:val="00581C88"/>
    <w:rsid w:val="00581EE0"/>
    <w:rsid w:val="00582017"/>
    <w:rsid w:val="005822B6"/>
    <w:rsid w:val="0058254C"/>
    <w:rsid w:val="00582929"/>
    <w:rsid w:val="00582F69"/>
    <w:rsid w:val="005834C3"/>
    <w:rsid w:val="00584528"/>
    <w:rsid w:val="00584D26"/>
    <w:rsid w:val="00584E76"/>
    <w:rsid w:val="005857B1"/>
    <w:rsid w:val="005857F7"/>
    <w:rsid w:val="005862E7"/>
    <w:rsid w:val="00586367"/>
    <w:rsid w:val="005902E6"/>
    <w:rsid w:val="0059079E"/>
    <w:rsid w:val="00591396"/>
    <w:rsid w:val="0059175E"/>
    <w:rsid w:val="00591B4F"/>
    <w:rsid w:val="005920D4"/>
    <w:rsid w:val="00592127"/>
    <w:rsid w:val="0059238B"/>
    <w:rsid w:val="005928DB"/>
    <w:rsid w:val="00592C48"/>
    <w:rsid w:val="0059336E"/>
    <w:rsid w:val="005935DF"/>
    <w:rsid w:val="0059398B"/>
    <w:rsid w:val="005941F4"/>
    <w:rsid w:val="00594366"/>
    <w:rsid w:val="00594416"/>
    <w:rsid w:val="00594D6D"/>
    <w:rsid w:val="005950C3"/>
    <w:rsid w:val="00595434"/>
    <w:rsid w:val="00595CEA"/>
    <w:rsid w:val="00596293"/>
    <w:rsid w:val="00596B33"/>
    <w:rsid w:val="005A0052"/>
    <w:rsid w:val="005A0707"/>
    <w:rsid w:val="005A0CD3"/>
    <w:rsid w:val="005A11BC"/>
    <w:rsid w:val="005A170A"/>
    <w:rsid w:val="005A1854"/>
    <w:rsid w:val="005A1974"/>
    <w:rsid w:val="005A2383"/>
    <w:rsid w:val="005A24F8"/>
    <w:rsid w:val="005A2EC7"/>
    <w:rsid w:val="005A3159"/>
    <w:rsid w:val="005A3326"/>
    <w:rsid w:val="005A3645"/>
    <w:rsid w:val="005A3AAA"/>
    <w:rsid w:val="005A4090"/>
    <w:rsid w:val="005A4370"/>
    <w:rsid w:val="005A453F"/>
    <w:rsid w:val="005A6A1F"/>
    <w:rsid w:val="005A6C2A"/>
    <w:rsid w:val="005A6D1A"/>
    <w:rsid w:val="005B0528"/>
    <w:rsid w:val="005B0F62"/>
    <w:rsid w:val="005B182F"/>
    <w:rsid w:val="005B1EF3"/>
    <w:rsid w:val="005B2FDF"/>
    <w:rsid w:val="005B3148"/>
    <w:rsid w:val="005B3933"/>
    <w:rsid w:val="005B3BBE"/>
    <w:rsid w:val="005B3C67"/>
    <w:rsid w:val="005B3C6C"/>
    <w:rsid w:val="005B46D4"/>
    <w:rsid w:val="005B4BAF"/>
    <w:rsid w:val="005B6171"/>
    <w:rsid w:val="005B61B0"/>
    <w:rsid w:val="005B6300"/>
    <w:rsid w:val="005B6663"/>
    <w:rsid w:val="005B7696"/>
    <w:rsid w:val="005B78DE"/>
    <w:rsid w:val="005B7A2E"/>
    <w:rsid w:val="005C06C2"/>
    <w:rsid w:val="005C092F"/>
    <w:rsid w:val="005C0CF1"/>
    <w:rsid w:val="005C17A8"/>
    <w:rsid w:val="005C21A8"/>
    <w:rsid w:val="005C2789"/>
    <w:rsid w:val="005C37BB"/>
    <w:rsid w:val="005C4A6A"/>
    <w:rsid w:val="005C4E99"/>
    <w:rsid w:val="005C51BC"/>
    <w:rsid w:val="005C57D5"/>
    <w:rsid w:val="005C5C8D"/>
    <w:rsid w:val="005C5FAB"/>
    <w:rsid w:val="005C5FFE"/>
    <w:rsid w:val="005C64F4"/>
    <w:rsid w:val="005C698A"/>
    <w:rsid w:val="005C70FA"/>
    <w:rsid w:val="005C7389"/>
    <w:rsid w:val="005D008F"/>
    <w:rsid w:val="005D05BC"/>
    <w:rsid w:val="005D0C77"/>
    <w:rsid w:val="005D2FC6"/>
    <w:rsid w:val="005D3002"/>
    <w:rsid w:val="005D310A"/>
    <w:rsid w:val="005D314F"/>
    <w:rsid w:val="005D3545"/>
    <w:rsid w:val="005D3D1F"/>
    <w:rsid w:val="005D3FB8"/>
    <w:rsid w:val="005D4D37"/>
    <w:rsid w:val="005D535F"/>
    <w:rsid w:val="005D536A"/>
    <w:rsid w:val="005D5998"/>
    <w:rsid w:val="005D59DA"/>
    <w:rsid w:val="005D5B82"/>
    <w:rsid w:val="005D701B"/>
    <w:rsid w:val="005D7956"/>
    <w:rsid w:val="005E0500"/>
    <w:rsid w:val="005E0E79"/>
    <w:rsid w:val="005E1193"/>
    <w:rsid w:val="005E18E9"/>
    <w:rsid w:val="005E1C3B"/>
    <w:rsid w:val="005E1E05"/>
    <w:rsid w:val="005E2588"/>
    <w:rsid w:val="005E2711"/>
    <w:rsid w:val="005E2C45"/>
    <w:rsid w:val="005E3350"/>
    <w:rsid w:val="005E497D"/>
    <w:rsid w:val="005E4B64"/>
    <w:rsid w:val="005E59BB"/>
    <w:rsid w:val="005E5D96"/>
    <w:rsid w:val="005E73CA"/>
    <w:rsid w:val="005E79E4"/>
    <w:rsid w:val="005E7BCD"/>
    <w:rsid w:val="005E7EB5"/>
    <w:rsid w:val="005F2016"/>
    <w:rsid w:val="005F280F"/>
    <w:rsid w:val="005F31C9"/>
    <w:rsid w:val="005F37A9"/>
    <w:rsid w:val="005F39AE"/>
    <w:rsid w:val="005F3C8D"/>
    <w:rsid w:val="005F3E8D"/>
    <w:rsid w:val="005F408F"/>
    <w:rsid w:val="005F43DA"/>
    <w:rsid w:val="005F4BD1"/>
    <w:rsid w:val="005F53FC"/>
    <w:rsid w:val="005F554E"/>
    <w:rsid w:val="005F585E"/>
    <w:rsid w:val="005F58A8"/>
    <w:rsid w:val="005F5BB3"/>
    <w:rsid w:val="005F6D1C"/>
    <w:rsid w:val="005F6D72"/>
    <w:rsid w:val="005F70AB"/>
    <w:rsid w:val="005F76B7"/>
    <w:rsid w:val="005F7724"/>
    <w:rsid w:val="005F7AAD"/>
    <w:rsid w:val="005F7DF5"/>
    <w:rsid w:val="0060049F"/>
    <w:rsid w:val="006013DF"/>
    <w:rsid w:val="00601CB5"/>
    <w:rsid w:val="00601E12"/>
    <w:rsid w:val="00602497"/>
    <w:rsid w:val="00602C5A"/>
    <w:rsid w:val="00603BB4"/>
    <w:rsid w:val="0060486E"/>
    <w:rsid w:val="00604C50"/>
    <w:rsid w:val="006057EC"/>
    <w:rsid w:val="00605D24"/>
    <w:rsid w:val="00606332"/>
    <w:rsid w:val="0060639C"/>
    <w:rsid w:val="006069E2"/>
    <w:rsid w:val="00606D49"/>
    <w:rsid w:val="00610186"/>
    <w:rsid w:val="0061086C"/>
    <w:rsid w:val="0061136D"/>
    <w:rsid w:val="00612637"/>
    <w:rsid w:val="006130FC"/>
    <w:rsid w:val="00613387"/>
    <w:rsid w:val="006135BF"/>
    <w:rsid w:val="006137AE"/>
    <w:rsid w:val="00613EF6"/>
    <w:rsid w:val="0061475C"/>
    <w:rsid w:val="006149BD"/>
    <w:rsid w:val="00614CD7"/>
    <w:rsid w:val="0061675A"/>
    <w:rsid w:val="0061687F"/>
    <w:rsid w:val="006172EF"/>
    <w:rsid w:val="00617563"/>
    <w:rsid w:val="00617685"/>
    <w:rsid w:val="00617918"/>
    <w:rsid w:val="00617BE3"/>
    <w:rsid w:val="006202D8"/>
    <w:rsid w:val="00621A69"/>
    <w:rsid w:val="006220B4"/>
    <w:rsid w:val="00622A4A"/>
    <w:rsid w:val="00623480"/>
    <w:rsid w:val="00624695"/>
    <w:rsid w:val="00624978"/>
    <w:rsid w:val="00624D71"/>
    <w:rsid w:val="00625664"/>
    <w:rsid w:val="00625C0D"/>
    <w:rsid w:val="00625C50"/>
    <w:rsid w:val="006266BA"/>
    <w:rsid w:val="0062754B"/>
    <w:rsid w:val="0062756D"/>
    <w:rsid w:val="006300A9"/>
    <w:rsid w:val="006304A5"/>
    <w:rsid w:val="006304C7"/>
    <w:rsid w:val="006305EB"/>
    <w:rsid w:val="00630C1C"/>
    <w:rsid w:val="00630DFC"/>
    <w:rsid w:val="006310B0"/>
    <w:rsid w:val="0063130D"/>
    <w:rsid w:val="0063131E"/>
    <w:rsid w:val="00631D01"/>
    <w:rsid w:val="0063225E"/>
    <w:rsid w:val="006322F2"/>
    <w:rsid w:val="00632784"/>
    <w:rsid w:val="00632AAB"/>
    <w:rsid w:val="00632ABC"/>
    <w:rsid w:val="00633146"/>
    <w:rsid w:val="00633CB8"/>
    <w:rsid w:val="006343C6"/>
    <w:rsid w:val="006352E1"/>
    <w:rsid w:val="00635349"/>
    <w:rsid w:val="00635881"/>
    <w:rsid w:val="00636B44"/>
    <w:rsid w:val="00636DCF"/>
    <w:rsid w:val="006371AA"/>
    <w:rsid w:val="006372D8"/>
    <w:rsid w:val="00637DF9"/>
    <w:rsid w:val="00641117"/>
    <w:rsid w:val="006411C3"/>
    <w:rsid w:val="006419AF"/>
    <w:rsid w:val="00641B0F"/>
    <w:rsid w:val="00641B58"/>
    <w:rsid w:val="006423A3"/>
    <w:rsid w:val="006426EF"/>
    <w:rsid w:val="00643602"/>
    <w:rsid w:val="00644833"/>
    <w:rsid w:val="0064488F"/>
    <w:rsid w:val="00644D4F"/>
    <w:rsid w:val="00647760"/>
    <w:rsid w:val="00647F8C"/>
    <w:rsid w:val="00647FC5"/>
    <w:rsid w:val="00650080"/>
    <w:rsid w:val="006505D2"/>
    <w:rsid w:val="0065135C"/>
    <w:rsid w:val="00652EC8"/>
    <w:rsid w:val="00653A72"/>
    <w:rsid w:val="006542BF"/>
    <w:rsid w:val="00654963"/>
    <w:rsid w:val="0065513F"/>
    <w:rsid w:val="00655414"/>
    <w:rsid w:val="00655996"/>
    <w:rsid w:val="006560F4"/>
    <w:rsid w:val="00656149"/>
    <w:rsid w:val="00656D2E"/>
    <w:rsid w:val="00657139"/>
    <w:rsid w:val="00657C41"/>
    <w:rsid w:val="00660D31"/>
    <w:rsid w:val="00660D45"/>
    <w:rsid w:val="00660E6D"/>
    <w:rsid w:val="00661000"/>
    <w:rsid w:val="00661813"/>
    <w:rsid w:val="00662324"/>
    <w:rsid w:val="006623DD"/>
    <w:rsid w:val="00662923"/>
    <w:rsid w:val="0066304B"/>
    <w:rsid w:val="006640E4"/>
    <w:rsid w:val="00664555"/>
    <w:rsid w:val="00665E37"/>
    <w:rsid w:val="006663BF"/>
    <w:rsid w:val="006665E5"/>
    <w:rsid w:val="00666BFE"/>
    <w:rsid w:val="00666F66"/>
    <w:rsid w:val="00667A5B"/>
    <w:rsid w:val="00667FF8"/>
    <w:rsid w:val="00670AD7"/>
    <w:rsid w:val="0067135C"/>
    <w:rsid w:val="006715CB"/>
    <w:rsid w:val="006718A1"/>
    <w:rsid w:val="00671BC5"/>
    <w:rsid w:val="0067322C"/>
    <w:rsid w:val="00673AB2"/>
    <w:rsid w:val="00673DB0"/>
    <w:rsid w:val="00674786"/>
    <w:rsid w:val="0067527C"/>
    <w:rsid w:val="00675779"/>
    <w:rsid w:val="006769F7"/>
    <w:rsid w:val="00676AC5"/>
    <w:rsid w:val="00677FB4"/>
    <w:rsid w:val="00680133"/>
    <w:rsid w:val="00680ABC"/>
    <w:rsid w:val="00680B03"/>
    <w:rsid w:val="006815E5"/>
    <w:rsid w:val="006818F2"/>
    <w:rsid w:val="00681A32"/>
    <w:rsid w:val="00682079"/>
    <w:rsid w:val="006820BA"/>
    <w:rsid w:val="006830CA"/>
    <w:rsid w:val="00683C53"/>
    <w:rsid w:val="00684CCD"/>
    <w:rsid w:val="00684FA5"/>
    <w:rsid w:val="0068501E"/>
    <w:rsid w:val="00685108"/>
    <w:rsid w:val="00685B6D"/>
    <w:rsid w:val="00685E01"/>
    <w:rsid w:val="00687188"/>
    <w:rsid w:val="006873B4"/>
    <w:rsid w:val="00687882"/>
    <w:rsid w:val="006879D0"/>
    <w:rsid w:val="00687ABF"/>
    <w:rsid w:val="0069001D"/>
    <w:rsid w:val="00690353"/>
    <w:rsid w:val="00690917"/>
    <w:rsid w:val="00691B12"/>
    <w:rsid w:val="00691B41"/>
    <w:rsid w:val="00692E4A"/>
    <w:rsid w:val="00692F3C"/>
    <w:rsid w:val="00692FA1"/>
    <w:rsid w:val="006933D9"/>
    <w:rsid w:val="006934C9"/>
    <w:rsid w:val="006947EC"/>
    <w:rsid w:val="006947FF"/>
    <w:rsid w:val="0069524A"/>
    <w:rsid w:val="00695A76"/>
    <w:rsid w:val="00696692"/>
    <w:rsid w:val="00696987"/>
    <w:rsid w:val="00696F11"/>
    <w:rsid w:val="00696F63"/>
    <w:rsid w:val="006970AE"/>
    <w:rsid w:val="006975BE"/>
    <w:rsid w:val="006A0029"/>
    <w:rsid w:val="006A028D"/>
    <w:rsid w:val="006A059B"/>
    <w:rsid w:val="006A0E59"/>
    <w:rsid w:val="006A0FDE"/>
    <w:rsid w:val="006A1097"/>
    <w:rsid w:val="006A1772"/>
    <w:rsid w:val="006A1B37"/>
    <w:rsid w:val="006A2411"/>
    <w:rsid w:val="006A2BD8"/>
    <w:rsid w:val="006A2C82"/>
    <w:rsid w:val="006A2E34"/>
    <w:rsid w:val="006A3C5A"/>
    <w:rsid w:val="006A4A5F"/>
    <w:rsid w:val="006A57B2"/>
    <w:rsid w:val="006A5978"/>
    <w:rsid w:val="006A5FF4"/>
    <w:rsid w:val="006A6427"/>
    <w:rsid w:val="006A644D"/>
    <w:rsid w:val="006A6466"/>
    <w:rsid w:val="006A64B1"/>
    <w:rsid w:val="006A6C47"/>
    <w:rsid w:val="006A6C58"/>
    <w:rsid w:val="006A7058"/>
    <w:rsid w:val="006A7B33"/>
    <w:rsid w:val="006B0800"/>
    <w:rsid w:val="006B0C8F"/>
    <w:rsid w:val="006B14A4"/>
    <w:rsid w:val="006B19A4"/>
    <w:rsid w:val="006B1D31"/>
    <w:rsid w:val="006B24DA"/>
    <w:rsid w:val="006B2E21"/>
    <w:rsid w:val="006B40FD"/>
    <w:rsid w:val="006B4429"/>
    <w:rsid w:val="006B46DC"/>
    <w:rsid w:val="006B46F1"/>
    <w:rsid w:val="006B54A0"/>
    <w:rsid w:val="006B5F64"/>
    <w:rsid w:val="006B670D"/>
    <w:rsid w:val="006B6E0A"/>
    <w:rsid w:val="006B7F37"/>
    <w:rsid w:val="006C01BB"/>
    <w:rsid w:val="006C07EB"/>
    <w:rsid w:val="006C08F5"/>
    <w:rsid w:val="006C120C"/>
    <w:rsid w:val="006C1500"/>
    <w:rsid w:val="006C1D50"/>
    <w:rsid w:val="006C3442"/>
    <w:rsid w:val="006C3797"/>
    <w:rsid w:val="006C37E2"/>
    <w:rsid w:val="006C43BE"/>
    <w:rsid w:val="006C4E7B"/>
    <w:rsid w:val="006C56CC"/>
    <w:rsid w:val="006C5A34"/>
    <w:rsid w:val="006C6625"/>
    <w:rsid w:val="006C67D9"/>
    <w:rsid w:val="006C6A71"/>
    <w:rsid w:val="006C7764"/>
    <w:rsid w:val="006C7EB8"/>
    <w:rsid w:val="006D02F0"/>
    <w:rsid w:val="006D0E9A"/>
    <w:rsid w:val="006D0FA4"/>
    <w:rsid w:val="006D1EC9"/>
    <w:rsid w:val="006D2E0B"/>
    <w:rsid w:val="006D52F0"/>
    <w:rsid w:val="006D5DAC"/>
    <w:rsid w:val="006D63EE"/>
    <w:rsid w:val="006D6CD7"/>
    <w:rsid w:val="006D735C"/>
    <w:rsid w:val="006D79CE"/>
    <w:rsid w:val="006D7F0E"/>
    <w:rsid w:val="006E0E76"/>
    <w:rsid w:val="006E172B"/>
    <w:rsid w:val="006E19C6"/>
    <w:rsid w:val="006E1CBE"/>
    <w:rsid w:val="006E1D5E"/>
    <w:rsid w:val="006E2A19"/>
    <w:rsid w:val="006E2BCF"/>
    <w:rsid w:val="006E2CF9"/>
    <w:rsid w:val="006E2EF7"/>
    <w:rsid w:val="006E2FAD"/>
    <w:rsid w:val="006E368B"/>
    <w:rsid w:val="006E4921"/>
    <w:rsid w:val="006E5045"/>
    <w:rsid w:val="006E58D9"/>
    <w:rsid w:val="006E5E4B"/>
    <w:rsid w:val="006E6486"/>
    <w:rsid w:val="006E7114"/>
    <w:rsid w:val="006E73C6"/>
    <w:rsid w:val="006E7647"/>
    <w:rsid w:val="006E76B1"/>
    <w:rsid w:val="006E7C56"/>
    <w:rsid w:val="006F12CC"/>
    <w:rsid w:val="006F1B27"/>
    <w:rsid w:val="006F1C0E"/>
    <w:rsid w:val="006F285E"/>
    <w:rsid w:val="006F3963"/>
    <w:rsid w:val="006F3B2B"/>
    <w:rsid w:val="006F3C90"/>
    <w:rsid w:val="006F4139"/>
    <w:rsid w:val="006F434A"/>
    <w:rsid w:val="006F4DC4"/>
    <w:rsid w:val="006F510F"/>
    <w:rsid w:val="006F524D"/>
    <w:rsid w:val="006F5AD7"/>
    <w:rsid w:val="006F602D"/>
    <w:rsid w:val="006F6C59"/>
    <w:rsid w:val="006F6FC9"/>
    <w:rsid w:val="006F7F0E"/>
    <w:rsid w:val="007008AF"/>
    <w:rsid w:val="00700928"/>
    <w:rsid w:val="00700DD7"/>
    <w:rsid w:val="007016DB"/>
    <w:rsid w:val="007029B6"/>
    <w:rsid w:val="00703237"/>
    <w:rsid w:val="00703CF8"/>
    <w:rsid w:val="007046CB"/>
    <w:rsid w:val="00704DF4"/>
    <w:rsid w:val="00705753"/>
    <w:rsid w:val="00705BC1"/>
    <w:rsid w:val="007060E6"/>
    <w:rsid w:val="007061C1"/>
    <w:rsid w:val="007074A3"/>
    <w:rsid w:val="00711E32"/>
    <w:rsid w:val="0071226A"/>
    <w:rsid w:val="0071264F"/>
    <w:rsid w:val="00713125"/>
    <w:rsid w:val="0071316E"/>
    <w:rsid w:val="00713C38"/>
    <w:rsid w:val="007149B4"/>
    <w:rsid w:val="00714FDB"/>
    <w:rsid w:val="00715563"/>
    <w:rsid w:val="00715BEE"/>
    <w:rsid w:val="00716369"/>
    <w:rsid w:val="0071682C"/>
    <w:rsid w:val="0071752E"/>
    <w:rsid w:val="0071756B"/>
    <w:rsid w:val="007176B8"/>
    <w:rsid w:val="00717803"/>
    <w:rsid w:val="00717932"/>
    <w:rsid w:val="00717B60"/>
    <w:rsid w:val="00717FB7"/>
    <w:rsid w:val="00720956"/>
    <w:rsid w:val="00721D18"/>
    <w:rsid w:val="007220CF"/>
    <w:rsid w:val="00722376"/>
    <w:rsid w:val="00722AD9"/>
    <w:rsid w:val="00722E43"/>
    <w:rsid w:val="007231C5"/>
    <w:rsid w:val="007231E3"/>
    <w:rsid w:val="007237D5"/>
    <w:rsid w:val="00723B4D"/>
    <w:rsid w:val="00724544"/>
    <w:rsid w:val="00724EB3"/>
    <w:rsid w:val="00725023"/>
    <w:rsid w:val="00725B47"/>
    <w:rsid w:val="00725B72"/>
    <w:rsid w:val="00725B77"/>
    <w:rsid w:val="007268A7"/>
    <w:rsid w:val="00726C2B"/>
    <w:rsid w:val="00726CFF"/>
    <w:rsid w:val="00727175"/>
    <w:rsid w:val="00727310"/>
    <w:rsid w:val="00730FA3"/>
    <w:rsid w:val="0073138A"/>
    <w:rsid w:val="007315B2"/>
    <w:rsid w:val="00731925"/>
    <w:rsid w:val="00731B3F"/>
    <w:rsid w:val="00731C20"/>
    <w:rsid w:val="0073224D"/>
    <w:rsid w:val="007334F4"/>
    <w:rsid w:val="0073363A"/>
    <w:rsid w:val="00733703"/>
    <w:rsid w:val="007338D3"/>
    <w:rsid w:val="007342A4"/>
    <w:rsid w:val="00734EDE"/>
    <w:rsid w:val="007351FF"/>
    <w:rsid w:val="00735232"/>
    <w:rsid w:val="00735B35"/>
    <w:rsid w:val="00735CCB"/>
    <w:rsid w:val="00735F89"/>
    <w:rsid w:val="0073682A"/>
    <w:rsid w:val="00737295"/>
    <w:rsid w:val="0073755C"/>
    <w:rsid w:val="00740CC6"/>
    <w:rsid w:val="007411A4"/>
    <w:rsid w:val="00742781"/>
    <w:rsid w:val="0074298B"/>
    <w:rsid w:val="00742D68"/>
    <w:rsid w:val="00743250"/>
    <w:rsid w:val="007434B7"/>
    <w:rsid w:val="00743CE5"/>
    <w:rsid w:val="00743D96"/>
    <w:rsid w:val="00743F21"/>
    <w:rsid w:val="007445BE"/>
    <w:rsid w:val="007445EC"/>
    <w:rsid w:val="007447E1"/>
    <w:rsid w:val="007448E0"/>
    <w:rsid w:val="00744F03"/>
    <w:rsid w:val="007457DB"/>
    <w:rsid w:val="00745AF4"/>
    <w:rsid w:val="00745F5D"/>
    <w:rsid w:val="00746BB2"/>
    <w:rsid w:val="00747028"/>
    <w:rsid w:val="00750020"/>
    <w:rsid w:val="00750216"/>
    <w:rsid w:val="0075046B"/>
    <w:rsid w:val="007504EB"/>
    <w:rsid w:val="00750AC2"/>
    <w:rsid w:val="00751857"/>
    <w:rsid w:val="00751FE7"/>
    <w:rsid w:val="007527BD"/>
    <w:rsid w:val="00752829"/>
    <w:rsid w:val="00753059"/>
    <w:rsid w:val="0075379B"/>
    <w:rsid w:val="00753E27"/>
    <w:rsid w:val="007541CD"/>
    <w:rsid w:val="007545CD"/>
    <w:rsid w:val="007549D7"/>
    <w:rsid w:val="00754A28"/>
    <w:rsid w:val="00754AA6"/>
    <w:rsid w:val="00755614"/>
    <w:rsid w:val="00756186"/>
    <w:rsid w:val="00756A26"/>
    <w:rsid w:val="0075707B"/>
    <w:rsid w:val="00757288"/>
    <w:rsid w:val="007574EA"/>
    <w:rsid w:val="0075759E"/>
    <w:rsid w:val="007601A2"/>
    <w:rsid w:val="00760CC6"/>
    <w:rsid w:val="007626EB"/>
    <w:rsid w:val="007629F1"/>
    <w:rsid w:val="00762D5D"/>
    <w:rsid w:val="00762D9E"/>
    <w:rsid w:val="00763882"/>
    <w:rsid w:val="0076485F"/>
    <w:rsid w:val="0076498D"/>
    <w:rsid w:val="00764C2E"/>
    <w:rsid w:val="00765029"/>
    <w:rsid w:val="0076545B"/>
    <w:rsid w:val="007665D9"/>
    <w:rsid w:val="00766C2E"/>
    <w:rsid w:val="00766E64"/>
    <w:rsid w:val="00767483"/>
    <w:rsid w:val="0076798B"/>
    <w:rsid w:val="00767E11"/>
    <w:rsid w:val="00767E7B"/>
    <w:rsid w:val="0077058B"/>
    <w:rsid w:val="007705EA"/>
    <w:rsid w:val="00770785"/>
    <w:rsid w:val="007707AB"/>
    <w:rsid w:val="007708EF"/>
    <w:rsid w:val="00770AE1"/>
    <w:rsid w:val="00770FB3"/>
    <w:rsid w:val="007719DA"/>
    <w:rsid w:val="00771CFA"/>
    <w:rsid w:val="00772A86"/>
    <w:rsid w:val="00774C36"/>
    <w:rsid w:val="00776750"/>
    <w:rsid w:val="00776B16"/>
    <w:rsid w:val="00776F3F"/>
    <w:rsid w:val="0077776D"/>
    <w:rsid w:val="007777A3"/>
    <w:rsid w:val="0077784D"/>
    <w:rsid w:val="007779C8"/>
    <w:rsid w:val="00777D6F"/>
    <w:rsid w:val="00777F5E"/>
    <w:rsid w:val="007800AA"/>
    <w:rsid w:val="007802A5"/>
    <w:rsid w:val="00780497"/>
    <w:rsid w:val="007806E9"/>
    <w:rsid w:val="00780762"/>
    <w:rsid w:val="00780A2A"/>
    <w:rsid w:val="00780A6C"/>
    <w:rsid w:val="00780AAB"/>
    <w:rsid w:val="0078131B"/>
    <w:rsid w:val="00781536"/>
    <w:rsid w:val="00781DDD"/>
    <w:rsid w:val="00783294"/>
    <w:rsid w:val="00784701"/>
    <w:rsid w:val="00784985"/>
    <w:rsid w:val="00784B03"/>
    <w:rsid w:val="00785171"/>
    <w:rsid w:val="00785237"/>
    <w:rsid w:val="0078562E"/>
    <w:rsid w:val="00785BA5"/>
    <w:rsid w:val="00790EB7"/>
    <w:rsid w:val="00791997"/>
    <w:rsid w:val="00791E34"/>
    <w:rsid w:val="0079243C"/>
    <w:rsid w:val="0079272E"/>
    <w:rsid w:val="00792772"/>
    <w:rsid w:val="00792A77"/>
    <w:rsid w:val="00793294"/>
    <w:rsid w:val="0079474A"/>
    <w:rsid w:val="00794959"/>
    <w:rsid w:val="00794D7B"/>
    <w:rsid w:val="00794F98"/>
    <w:rsid w:val="007952B3"/>
    <w:rsid w:val="00795535"/>
    <w:rsid w:val="00795631"/>
    <w:rsid w:val="007956D4"/>
    <w:rsid w:val="00796936"/>
    <w:rsid w:val="0079695C"/>
    <w:rsid w:val="00796E39"/>
    <w:rsid w:val="007A08D3"/>
    <w:rsid w:val="007A0FDB"/>
    <w:rsid w:val="007A2BAB"/>
    <w:rsid w:val="007A2DC3"/>
    <w:rsid w:val="007A2F57"/>
    <w:rsid w:val="007A314C"/>
    <w:rsid w:val="007A3820"/>
    <w:rsid w:val="007A4482"/>
    <w:rsid w:val="007A4988"/>
    <w:rsid w:val="007A5D93"/>
    <w:rsid w:val="007A66A6"/>
    <w:rsid w:val="007A7505"/>
    <w:rsid w:val="007A7626"/>
    <w:rsid w:val="007A7F90"/>
    <w:rsid w:val="007B00F4"/>
    <w:rsid w:val="007B0B95"/>
    <w:rsid w:val="007B1E69"/>
    <w:rsid w:val="007B37D5"/>
    <w:rsid w:val="007B384E"/>
    <w:rsid w:val="007B3B0A"/>
    <w:rsid w:val="007B3FA9"/>
    <w:rsid w:val="007B48CB"/>
    <w:rsid w:val="007B5447"/>
    <w:rsid w:val="007B6596"/>
    <w:rsid w:val="007B687A"/>
    <w:rsid w:val="007B6AC7"/>
    <w:rsid w:val="007B7E43"/>
    <w:rsid w:val="007C04D0"/>
    <w:rsid w:val="007C0B27"/>
    <w:rsid w:val="007C2309"/>
    <w:rsid w:val="007C24D1"/>
    <w:rsid w:val="007C321D"/>
    <w:rsid w:val="007C347E"/>
    <w:rsid w:val="007C40B0"/>
    <w:rsid w:val="007C5EDF"/>
    <w:rsid w:val="007C6583"/>
    <w:rsid w:val="007C6E0E"/>
    <w:rsid w:val="007C71F9"/>
    <w:rsid w:val="007C74C2"/>
    <w:rsid w:val="007C77EA"/>
    <w:rsid w:val="007D0D38"/>
    <w:rsid w:val="007D1C96"/>
    <w:rsid w:val="007D1D00"/>
    <w:rsid w:val="007D1F8E"/>
    <w:rsid w:val="007D2005"/>
    <w:rsid w:val="007D2D78"/>
    <w:rsid w:val="007D2D7C"/>
    <w:rsid w:val="007D39FB"/>
    <w:rsid w:val="007D4651"/>
    <w:rsid w:val="007D4F78"/>
    <w:rsid w:val="007D740A"/>
    <w:rsid w:val="007E037C"/>
    <w:rsid w:val="007E0B4F"/>
    <w:rsid w:val="007E116D"/>
    <w:rsid w:val="007E17C0"/>
    <w:rsid w:val="007E2BD5"/>
    <w:rsid w:val="007E2E8B"/>
    <w:rsid w:val="007E3352"/>
    <w:rsid w:val="007E3B26"/>
    <w:rsid w:val="007E4828"/>
    <w:rsid w:val="007E492B"/>
    <w:rsid w:val="007E4969"/>
    <w:rsid w:val="007E54A0"/>
    <w:rsid w:val="007E5D63"/>
    <w:rsid w:val="007E6095"/>
    <w:rsid w:val="007E622C"/>
    <w:rsid w:val="007E6508"/>
    <w:rsid w:val="007E6701"/>
    <w:rsid w:val="007E6CA0"/>
    <w:rsid w:val="007E6FB7"/>
    <w:rsid w:val="007E70C7"/>
    <w:rsid w:val="007E74E7"/>
    <w:rsid w:val="007F0146"/>
    <w:rsid w:val="007F0379"/>
    <w:rsid w:val="007F1739"/>
    <w:rsid w:val="007F1AB3"/>
    <w:rsid w:val="007F37FB"/>
    <w:rsid w:val="007F493F"/>
    <w:rsid w:val="007F4BB0"/>
    <w:rsid w:val="007F4D77"/>
    <w:rsid w:val="007F59D9"/>
    <w:rsid w:val="007F59FC"/>
    <w:rsid w:val="007F619E"/>
    <w:rsid w:val="007F687C"/>
    <w:rsid w:val="007F6BEC"/>
    <w:rsid w:val="007F6E47"/>
    <w:rsid w:val="007F7A3D"/>
    <w:rsid w:val="008006E4"/>
    <w:rsid w:val="00800728"/>
    <w:rsid w:val="0080116E"/>
    <w:rsid w:val="0080118E"/>
    <w:rsid w:val="008012ED"/>
    <w:rsid w:val="00801796"/>
    <w:rsid w:val="00801BCE"/>
    <w:rsid w:val="00801EDC"/>
    <w:rsid w:val="008020C6"/>
    <w:rsid w:val="00802569"/>
    <w:rsid w:val="008035A3"/>
    <w:rsid w:val="00803881"/>
    <w:rsid w:val="00803D2D"/>
    <w:rsid w:val="00804C89"/>
    <w:rsid w:val="00805C7F"/>
    <w:rsid w:val="00805EC1"/>
    <w:rsid w:val="008061B9"/>
    <w:rsid w:val="00806300"/>
    <w:rsid w:val="00806811"/>
    <w:rsid w:val="00806A27"/>
    <w:rsid w:val="00806D98"/>
    <w:rsid w:val="008074B9"/>
    <w:rsid w:val="008100BE"/>
    <w:rsid w:val="008100CD"/>
    <w:rsid w:val="008104EC"/>
    <w:rsid w:val="008106D4"/>
    <w:rsid w:val="00810AB0"/>
    <w:rsid w:val="008112C5"/>
    <w:rsid w:val="00811342"/>
    <w:rsid w:val="0081257B"/>
    <w:rsid w:val="00812CAE"/>
    <w:rsid w:val="008131BB"/>
    <w:rsid w:val="00813466"/>
    <w:rsid w:val="00813500"/>
    <w:rsid w:val="00813935"/>
    <w:rsid w:val="00813A79"/>
    <w:rsid w:val="008144C4"/>
    <w:rsid w:val="00815214"/>
    <w:rsid w:val="008154D8"/>
    <w:rsid w:val="008156FB"/>
    <w:rsid w:val="0081623A"/>
    <w:rsid w:val="00816B02"/>
    <w:rsid w:val="00816EF4"/>
    <w:rsid w:val="00817032"/>
    <w:rsid w:val="008170FC"/>
    <w:rsid w:val="0081796B"/>
    <w:rsid w:val="0082120B"/>
    <w:rsid w:val="008212FE"/>
    <w:rsid w:val="0082262B"/>
    <w:rsid w:val="008229E5"/>
    <w:rsid w:val="00822E6F"/>
    <w:rsid w:val="00822F04"/>
    <w:rsid w:val="0082382D"/>
    <w:rsid w:val="00823FAE"/>
    <w:rsid w:val="00824F5B"/>
    <w:rsid w:val="00825018"/>
    <w:rsid w:val="00825196"/>
    <w:rsid w:val="008252EB"/>
    <w:rsid w:val="00827A8F"/>
    <w:rsid w:val="00827ACD"/>
    <w:rsid w:val="00830BE1"/>
    <w:rsid w:val="008311E9"/>
    <w:rsid w:val="00831804"/>
    <w:rsid w:val="0083186E"/>
    <w:rsid w:val="00831A5E"/>
    <w:rsid w:val="008329AF"/>
    <w:rsid w:val="00833572"/>
    <w:rsid w:val="008335CD"/>
    <w:rsid w:val="00834243"/>
    <w:rsid w:val="00834C4C"/>
    <w:rsid w:val="00834E2E"/>
    <w:rsid w:val="008352F0"/>
    <w:rsid w:val="008360BB"/>
    <w:rsid w:val="00836B57"/>
    <w:rsid w:val="0083775F"/>
    <w:rsid w:val="00840309"/>
    <w:rsid w:val="00840380"/>
    <w:rsid w:val="0084173F"/>
    <w:rsid w:val="00841A1B"/>
    <w:rsid w:val="00841B31"/>
    <w:rsid w:val="00841B9E"/>
    <w:rsid w:val="008422B6"/>
    <w:rsid w:val="00842845"/>
    <w:rsid w:val="008428BA"/>
    <w:rsid w:val="008437BD"/>
    <w:rsid w:val="00843D21"/>
    <w:rsid w:val="008453B7"/>
    <w:rsid w:val="00845532"/>
    <w:rsid w:val="008458E3"/>
    <w:rsid w:val="00846B12"/>
    <w:rsid w:val="00846C98"/>
    <w:rsid w:val="008474F9"/>
    <w:rsid w:val="00847FC1"/>
    <w:rsid w:val="0085027D"/>
    <w:rsid w:val="008503A1"/>
    <w:rsid w:val="00850BFB"/>
    <w:rsid w:val="00851168"/>
    <w:rsid w:val="008512AE"/>
    <w:rsid w:val="008516FA"/>
    <w:rsid w:val="008517E5"/>
    <w:rsid w:val="0085238D"/>
    <w:rsid w:val="008526B0"/>
    <w:rsid w:val="0085287E"/>
    <w:rsid w:val="00852A7E"/>
    <w:rsid w:val="00853B5C"/>
    <w:rsid w:val="00853EF5"/>
    <w:rsid w:val="00854C7D"/>
    <w:rsid w:val="00854E9B"/>
    <w:rsid w:val="00855460"/>
    <w:rsid w:val="00855ADC"/>
    <w:rsid w:val="00855C1A"/>
    <w:rsid w:val="00855E37"/>
    <w:rsid w:val="0085628B"/>
    <w:rsid w:val="0085676C"/>
    <w:rsid w:val="00856A2C"/>
    <w:rsid w:val="008570C8"/>
    <w:rsid w:val="008579BC"/>
    <w:rsid w:val="008603A0"/>
    <w:rsid w:val="00860631"/>
    <w:rsid w:val="00860CC8"/>
    <w:rsid w:val="008618CD"/>
    <w:rsid w:val="00862673"/>
    <w:rsid w:val="00862938"/>
    <w:rsid w:val="0086392D"/>
    <w:rsid w:val="00863CC6"/>
    <w:rsid w:val="00865834"/>
    <w:rsid w:val="00865E30"/>
    <w:rsid w:val="008660C7"/>
    <w:rsid w:val="008662C4"/>
    <w:rsid w:val="0086639C"/>
    <w:rsid w:val="0086676A"/>
    <w:rsid w:val="00867FFE"/>
    <w:rsid w:val="008701B5"/>
    <w:rsid w:val="00870F6D"/>
    <w:rsid w:val="008714A1"/>
    <w:rsid w:val="008714C1"/>
    <w:rsid w:val="008719AE"/>
    <w:rsid w:val="00872063"/>
    <w:rsid w:val="00872F3D"/>
    <w:rsid w:val="008738B3"/>
    <w:rsid w:val="0087477E"/>
    <w:rsid w:val="0087564D"/>
    <w:rsid w:val="0087578D"/>
    <w:rsid w:val="00876576"/>
    <w:rsid w:val="008765F9"/>
    <w:rsid w:val="0087696B"/>
    <w:rsid w:val="00880359"/>
    <w:rsid w:val="00880DE4"/>
    <w:rsid w:val="00880E20"/>
    <w:rsid w:val="0088103B"/>
    <w:rsid w:val="0088126B"/>
    <w:rsid w:val="00881BC9"/>
    <w:rsid w:val="0088225A"/>
    <w:rsid w:val="0088226A"/>
    <w:rsid w:val="0088291B"/>
    <w:rsid w:val="0088292E"/>
    <w:rsid w:val="00882FA9"/>
    <w:rsid w:val="008839EE"/>
    <w:rsid w:val="00883C6C"/>
    <w:rsid w:val="008848A2"/>
    <w:rsid w:val="00884AAC"/>
    <w:rsid w:val="00885507"/>
    <w:rsid w:val="008857A8"/>
    <w:rsid w:val="00885C19"/>
    <w:rsid w:val="00887064"/>
    <w:rsid w:val="00887880"/>
    <w:rsid w:val="00887CBB"/>
    <w:rsid w:val="0089077C"/>
    <w:rsid w:val="00891384"/>
    <w:rsid w:val="008915AE"/>
    <w:rsid w:val="0089187F"/>
    <w:rsid w:val="008919DC"/>
    <w:rsid w:val="00892E57"/>
    <w:rsid w:val="00892FD2"/>
    <w:rsid w:val="00893390"/>
    <w:rsid w:val="00893527"/>
    <w:rsid w:val="008939A0"/>
    <w:rsid w:val="00893F6E"/>
    <w:rsid w:val="00894492"/>
    <w:rsid w:val="00894994"/>
    <w:rsid w:val="00894E26"/>
    <w:rsid w:val="008955EB"/>
    <w:rsid w:val="0089732F"/>
    <w:rsid w:val="00897808"/>
    <w:rsid w:val="00897C0D"/>
    <w:rsid w:val="008A0B5F"/>
    <w:rsid w:val="008A0E26"/>
    <w:rsid w:val="008A12F5"/>
    <w:rsid w:val="008A1C81"/>
    <w:rsid w:val="008A2028"/>
    <w:rsid w:val="008A273E"/>
    <w:rsid w:val="008A3A37"/>
    <w:rsid w:val="008A3B4B"/>
    <w:rsid w:val="008A3FB1"/>
    <w:rsid w:val="008A43A6"/>
    <w:rsid w:val="008A5182"/>
    <w:rsid w:val="008A5A3F"/>
    <w:rsid w:val="008A5EFA"/>
    <w:rsid w:val="008A69A3"/>
    <w:rsid w:val="008A6E9D"/>
    <w:rsid w:val="008A7701"/>
    <w:rsid w:val="008A7986"/>
    <w:rsid w:val="008A7C38"/>
    <w:rsid w:val="008A7EE6"/>
    <w:rsid w:val="008B0366"/>
    <w:rsid w:val="008B0CFC"/>
    <w:rsid w:val="008B0F1D"/>
    <w:rsid w:val="008B10FC"/>
    <w:rsid w:val="008B1849"/>
    <w:rsid w:val="008B1B62"/>
    <w:rsid w:val="008B1DF5"/>
    <w:rsid w:val="008B3056"/>
    <w:rsid w:val="008B3209"/>
    <w:rsid w:val="008B37B6"/>
    <w:rsid w:val="008B38A6"/>
    <w:rsid w:val="008B3F72"/>
    <w:rsid w:val="008B4E6C"/>
    <w:rsid w:val="008B4EA3"/>
    <w:rsid w:val="008B5146"/>
    <w:rsid w:val="008B61E4"/>
    <w:rsid w:val="008B6636"/>
    <w:rsid w:val="008B68C1"/>
    <w:rsid w:val="008B71D8"/>
    <w:rsid w:val="008B734E"/>
    <w:rsid w:val="008B74D1"/>
    <w:rsid w:val="008B7DC0"/>
    <w:rsid w:val="008C099B"/>
    <w:rsid w:val="008C1987"/>
    <w:rsid w:val="008C1D25"/>
    <w:rsid w:val="008C20C4"/>
    <w:rsid w:val="008C3469"/>
    <w:rsid w:val="008C38C7"/>
    <w:rsid w:val="008C3C43"/>
    <w:rsid w:val="008C3D53"/>
    <w:rsid w:val="008C74F4"/>
    <w:rsid w:val="008C7EAC"/>
    <w:rsid w:val="008D06F2"/>
    <w:rsid w:val="008D0BE2"/>
    <w:rsid w:val="008D1476"/>
    <w:rsid w:val="008D14CD"/>
    <w:rsid w:val="008D1A6A"/>
    <w:rsid w:val="008D2194"/>
    <w:rsid w:val="008D2631"/>
    <w:rsid w:val="008D2947"/>
    <w:rsid w:val="008D34F3"/>
    <w:rsid w:val="008D3B1E"/>
    <w:rsid w:val="008D3E52"/>
    <w:rsid w:val="008D434C"/>
    <w:rsid w:val="008D49F9"/>
    <w:rsid w:val="008D4C1F"/>
    <w:rsid w:val="008D4F8C"/>
    <w:rsid w:val="008D5059"/>
    <w:rsid w:val="008D5844"/>
    <w:rsid w:val="008D58A2"/>
    <w:rsid w:val="008D5B45"/>
    <w:rsid w:val="008D6EF9"/>
    <w:rsid w:val="008D70ED"/>
    <w:rsid w:val="008D745B"/>
    <w:rsid w:val="008D7699"/>
    <w:rsid w:val="008D7B13"/>
    <w:rsid w:val="008D7FB1"/>
    <w:rsid w:val="008E00A9"/>
    <w:rsid w:val="008E1440"/>
    <w:rsid w:val="008E170A"/>
    <w:rsid w:val="008E186A"/>
    <w:rsid w:val="008E1A82"/>
    <w:rsid w:val="008E1EBE"/>
    <w:rsid w:val="008E2BB2"/>
    <w:rsid w:val="008E46CE"/>
    <w:rsid w:val="008E4BBE"/>
    <w:rsid w:val="008E522A"/>
    <w:rsid w:val="008E5563"/>
    <w:rsid w:val="008E563E"/>
    <w:rsid w:val="008E56C0"/>
    <w:rsid w:val="008E6A72"/>
    <w:rsid w:val="008E6FA7"/>
    <w:rsid w:val="008E7510"/>
    <w:rsid w:val="008E76DD"/>
    <w:rsid w:val="008E7E2C"/>
    <w:rsid w:val="008F0666"/>
    <w:rsid w:val="008F0C74"/>
    <w:rsid w:val="008F12B4"/>
    <w:rsid w:val="008F241D"/>
    <w:rsid w:val="008F2A00"/>
    <w:rsid w:val="008F30BE"/>
    <w:rsid w:val="008F30E5"/>
    <w:rsid w:val="008F4468"/>
    <w:rsid w:val="008F5109"/>
    <w:rsid w:val="008F516B"/>
    <w:rsid w:val="008F6460"/>
    <w:rsid w:val="008F6B50"/>
    <w:rsid w:val="008F6C38"/>
    <w:rsid w:val="008F7742"/>
    <w:rsid w:val="008F77B0"/>
    <w:rsid w:val="008F7ED9"/>
    <w:rsid w:val="00900C18"/>
    <w:rsid w:val="0090162A"/>
    <w:rsid w:val="009019B6"/>
    <w:rsid w:val="00902A11"/>
    <w:rsid w:val="00902D0B"/>
    <w:rsid w:val="009030E3"/>
    <w:rsid w:val="00904A15"/>
    <w:rsid w:val="00904C34"/>
    <w:rsid w:val="00904DDB"/>
    <w:rsid w:val="0090511D"/>
    <w:rsid w:val="009051EB"/>
    <w:rsid w:val="00905D41"/>
    <w:rsid w:val="009075CD"/>
    <w:rsid w:val="0091027F"/>
    <w:rsid w:val="0091036C"/>
    <w:rsid w:val="00910650"/>
    <w:rsid w:val="00912228"/>
    <w:rsid w:val="00913137"/>
    <w:rsid w:val="009131DC"/>
    <w:rsid w:val="0091349E"/>
    <w:rsid w:val="00913894"/>
    <w:rsid w:val="00913E0E"/>
    <w:rsid w:val="00914AE8"/>
    <w:rsid w:val="00914FF4"/>
    <w:rsid w:val="009158AD"/>
    <w:rsid w:val="00915AF1"/>
    <w:rsid w:val="0091613B"/>
    <w:rsid w:val="00916C5A"/>
    <w:rsid w:val="0091746B"/>
    <w:rsid w:val="009201E5"/>
    <w:rsid w:val="009204E8"/>
    <w:rsid w:val="00920504"/>
    <w:rsid w:val="0092066F"/>
    <w:rsid w:val="00921D0D"/>
    <w:rsid w:val="00921FA6"/>
    <w:rsid w:val="00921FEF"/>
    <w:rsid w:val="009226E0"/>
    <w:rsid w:val="00923D21"/>
    <w:rsid w:val="00924026"/>
    <w:rsid w:val="009242C4"/>
    <w:rsid w:val="00924B83"/>
    <w:rsid w:val="009251D5"/>
    <w:rsid w:val="00925264"/>
    <w:rsid w:val="009253D2"/>
    <w:rsid w:val="009266B0"/>
    <w:rsid w:val="00926934"/>
    <w:rsid w:val="00926D95"/>
    <w:rsid w:val="00927C39"/>
    <w:rsid w:val="00927EF6"/>
    <w:rsid w:val="009303C6"/>
    <w:rsid w:val="00930474"/>
    <w:rsid w:val="0093076C"/>
    <w:rsid w:val="0093079A"/>
    <w:rsid w:val="009307EC"/>
    <w:rsid w:val="00930EE8"/>
    <w:rsid w:val="009317DB"/>
    <w:rsid w:val="0093224D"/>
    <w:rsid w:val="00932C5B"/>
    <w:rsid w:val="00933216"/>
    <w:rsid w:val="0093339D"/>
    <w:rsid w:val="0093387F"/>
    <w:rsid w:val="00933EDC"/>
    <w:rsid w:val="00934448"/>
    <w:rsid w:val="009369B7"/>
    <w:rsid w:val="009375D1"/>
    <w:rsid w:val="00937A74"/>
    <w:rsid w:val="00940439"/>
    <w:rsid w:val="00940C08"/>
    <w:rsid w:val="00940D5A"/>
    <w:rsid w:val="0094100C"/>
    <w:rsid w:val="00941933"/>
    <w:rsid w:val="00942021"/>
    <w:rsid w:val="009420B5"/>
    <w:rsid w:val="009423A2"/>
    <w:rsid w:val="00942B82"/>
    <w:rsid w:val="0094358A"/>
    <w:rsid w:val="0094451D"/>
    <w:rsid w:val="00944689"/>
    <w:rsid w:val="00944C9E"/>
    <w:rsid w:val="00944FCF"/>
    <w:rsid w:val="00945F94"/>
    <w:rsid w:val="00946402"/>
    <w:rsid w:val="00946439"/>
    <w:rsid w:val="00946EEF"/>
    <w:rsid w:val="00947DCF"/>
    <w:rsid w:val="00950652"/>
    <w:rsid w:val="00950793"/>
    <w:rsid w:val="00951671"/>
    <w:rsid w:val="00952B7B"/>
    <w:rsid w:val="00953830"/>
    <w:rsid w:val="009538EE"/>
    <w:rsid w:val="00953C44"/>
    <w:rsid w:val="00953CD5"/>
    <w:rsid w:val="00953CE9"/>
    <w:rsid w:val="00953E60"/>
    <w:rsid w:val="00953EFD"/>
    <w:rsid w:val="00953F66"/>
    <w:rsid w:val="009545A0"/>
    <w:rsid w:val="00954F41"/>
    <w:rsid w:val="00955122"/>
    <w:rsid w:val="00955164"/>
    <w:rsid w:val="0095525A"/>
    <w:rsid w:val="0095634F"/>
    <w:rsid w:val="009568A8"/>
    <w:rsid w:val="00956B9E"/>
    <w:rsid w:val="00957538"/>
    <w:rsid w:val="00957881"/>
    <w:rsid w:val="009579E8"/>
    <w:rsid w:val="0096064B"/>
    <w:rsid w:val="00960DB3"/>
    <w:rsid w:val="00961140"/>
    <w:rsid w:val="00961BEB"/>
    <w:rsid w:val="00962670"/>
    <w:rsid w:val="009627E0"/>
    <w:rsid w:val="00962FF6"/>
    <w:rsid w:val="0096324A"/>
    <w:rsid w:val="00963B71"/>
    <w:rsid w:val="009679BC"/>
    <w:rsid w:val="00967CB1"/>
    <w:rsid w:val="00970402"/>
    <w:rsid w:val="00970C0E"/>
    <w:rsid w:val="0097105C"/>
    <w:rsid w:val="009722BF"/>
    <w:rsid w:val="00972307"/>
    <w:rsid w:val="00972693"/>
    <w:rsid w:val="00972C2A"/>
    <w:rsid w:val="00973AF2"/>
    <w:rsid w:val="00973BE2"/>
    <w:rsid w:val="00974A79"/>
    <w:rsid w:val="00974AAE"/>
    <w:rsid w:val="00974F28"/>
    <w:rsid w:val="0097584B"/>
    <w:rsid w:val="00975A2E"/>
    <w:rsid w:val="0097623B"/>
    <w:rsid w:val="00976584"/>
    <w:rsid w:val="00976DD3"/>
    <w:rsid w:val="00977512"/>
    <w:rsid w:val="009776E9"/>
    <w:rsid w:val="0097782B"/>
    <w:rsid w:val="00977EAB"/>
    <w:rsid w:val="009805BD"/>
    <w:rsid w:val="0098064E"/>
    <w:rsid w:val="00980752"/>
    <w:rsid w:val="009815FA"/>
    <w:rsid w:val="00981C2B"/>
    <w:rsid w:val="009826C5"/>
    <w:rsid w:val="00983CE3"/>
    <w:rsid w:val="00983D28"/>
    <w:rsid w:val="009849DE"/>
    <w:rsid w:val="00985489"/>
    <w:rsid w:val="00985C56"/>
    <w:rsid w:val="009865BA"/>
    <w:rsid w:val="009869D8"/>
    <w:rsid w:val="00987490"/>
    <w:rsid w:val="009878B5"/>
    <w:rsid w:val="00987EC1"/>
    <w:rsid w:val="00987FD1"/>
    <w:rsid w:val="00990B4F"/>
    <w:rsid w:val="009912AA"/>
    <w:rsid w:val="00991BA9"/>
    <w:rsid w:val="00992058"/>
    <w:rsid w:val="00992536"/>
    <w:rsid w:val="009926DB"/>
    <w:rsid w:val="00992DC1"/>
    <w:rsid w:val="00993121"/>
    <w:rsid w:val="00993A79"/>
    <w:rsid w:val="00993AC4"/>
    <w:rsid w:val="0099429F"/>
    <w:rsid w:val="00995212"/>
    <w:rsid w:val="009960B5"/>
    <w:rsid w:val="0099628B"/>
    <w:rsid w:val="009967BB"/>
    <w:rsid w:val="009975C5"/>
    <w:rsid w:val="009978E3"/>
    <w:rsid w:val="00997F17"/>
    <w:rsid w:val="009A0309"/>
    <w:rsid w:val="009A0329"/>
    <w:rsid w:val="009A0E25"/>
    <w:rsid w:val="009A13D8"/>
    <w:rsid w:val="009A13FB"/>
    <w:rsid w:val="009A1EBA"/>
    <w:rsid w:val="009A22BE"/>
    <w:rsid w:val="009A2428"/>
    <w:rsid w:val="009A2B2F"/>
    <w:rsid w:val="009A2F10"/>
    <w:rsid w:val="009A2F1A"/>
    <w:rsid w:val="009A3636"/>
    <w:rsid w:val="009A3FA3"/>
    <w:rsid w:val="009A45D3"/>
    <w:rsid w:val="009A4C91"/>
    <w:rsid w:val="009A5A24"/>
    <w:rsid w:val="009A5AF9"/>
    <w:rsid w:val="009A6976"/>
    <w:rsid w:val="009A7664"/>
    <w:rsid w:val="009A7730"/>
    <w:rsid w:val="009B012A"/>
    <w:rsid w:val="009B018D"/>
    <w:rsid w:val="009B03A6"/>
    <w:rsid w:val="009B0A51"/>
    <w:rsid w:val="009B1536"/>
    <w:rsid w:val="009B1A04"/>
    <w:rsid w:val="009B25DA"/>
    <w:rsid w:val="009B2F76"/>
    <w:rsid w:val="009B3BE6"/>
    <w:rsid w:val="009B4322"/>
    <w:rsid w:val="009B4811"/>
    <w:rsid w:val="009B4E6B"/>
    <w:rsid w:val="009B5418"/>
    <w:rsid w:val="009B587D"/>
    <w:rsid w:val="009B5B14"/>
    <w:rsid w:val="009B68DE"/>
    <w:rsid w:val="009B6A4D"/>
    <w:rsid w:val="009B6EEE"/>
    <w:rsid w:val="009B7864"/>
    <w:rsid w:val="009C1383"/>
    <w:rsid w:val="009C1761"/>
    <w:rsid w:val="009C1C11"/>
    <w:rsid w:val="009C20BB"/>
    <w:rsid w:val="009C2383"/>
    <w:rsid w:val="009C23E0"/>
    <w:rsid w:val="009C24DF"/>
    <w:rsid w:val="009C280D"/>
    <w:rsid w:val="009C2861"/>
    <w:rsid w:val="009C2B54"/>
    <w:rsid w:val="009C316A"/>
    <w:rsid w:val="009C3A3A"/>
    <w:rsid w:val="009C3B2F"/>
    <w:rsid w:val="009C3CEE"/>
    <w:rsid w:val="009C4904"/>
    <w:rsid w:val="009C49FC"/>
    <w:rsid w:val="009C4BBF"/>
    <w:rsid w:val="009C518B"/>
    <w:rsid w:val="009C5C2E"/>
    <w:rsid w:val="009C6577"/>
    <w:rsid w:val="009C6D71"/>
    <w:rsid w:val="009C6EC8"/>
    <w:rsid w:val="009D0823"/>
    <w:rsid w:val="009D0CE5"/>
    <w:rsid w:val="009D14CF"/>
    <w:rsid w:val="009D1F14"/>
    <w:rsid w:val="009D2F04"/>
    <w:rsid w:val="009D3067"/>
    <w:rsid w:val="009D345A"/>
    <w:rsid w:val="009D3A43"/>
    <w:rsid w:val="009D3B9D"/>
    <w:rsid w:val="009D3BE9"/>
    <w:rsid w:val="009D403F"/>
    <w:rsid w:val="009D4303"/>
    <w:rsid w:val="009D4711"/>
    <w:rsid w:val="009D47F8"/>
    <w:rsid w:val="009D4E2A"/>
    <w:rsid w:val="009D53C6"/>
    <w:rsid w:val="009D66E0"/>
    <w:rsid w:val="009D6936"/>
    <w:rsid w:val="009D6C10"/>
    <w:rsid w:val="009D6EED"/>
    <w:rsid w:val="009D7244"/>
    <w:rsid w:val="009D78A2"/>
    <w:rsid w:val="009D7A57"/>
    <w:rsid w:val="009E0C76"/>
    <w:rsid w:val="009E1567"/>
    <w:rsid w:val="009E23AA"/>
    <w:rsid w:val="009E287C"/>
    <w:rsid w:val="009E2B4F"/>
    <w:rsid w:val="009E2FFF"/>
    <w:rsid w:val="009E30CD"/>
    <w:rsid w:val="009E318E"/>
    <w:rsid w:val="009E414A"/>
    <w:rsid w:val="009E4252"/>
    <w:rsid w:val="009E4A5C"/>
    <w:rsid w:val="009E5261"/>
    <w:rsid w:val="009E5B54"/>
    <w:rsid w:val="009E644A"/>
    <w:rsid w:val="009E6B61"/>
    <w:rsid w:val="009E6CFF"/>
    <w:rsid w:val="009E7E56"/>
    <w:rsid w:val="009F0189"/>
    <w:rsid w:val="009F1C6F"/>
    <w:rsid w:val="009F204D"/>
    <w:rsid w:val="009F23E5"/>
    <w:rsid w:val="009F2E71"/>
    <w:rsid w:val="009F3173"/>
    <w:rsid w:val="009F32F4"/>
    <w:rsid w:val="009F3474"/>
    <w:rsid w:val="009F46DC"/>
    <w:rsid w:val="009F49DF"/>
    <w:rsid w:val="009F4C49"/>
    <w:rsid w:val="009F54E3"/>
    <w:rsid w:val="009F5752"/>
    <w:rsid w:val="009F58BE"/>
    <w:rsid w:val="009F5D3A"/>
    <w:rsid w:val="009F63A3"/>
    <w:rsid w:val="009F6845"/>
    <w:rsid w:val="009F7259"/>
    <w:rsid w:val="00A02A5C"/>
    <w:rsid w:val="00A036D8"/>
    <w:rsid w:val="00A037B8"/>
    <w:rsid w:val="00A03B87"/>
    <w:rsid w:val="00A03FC1"/>
    <w:rsid w:val="00A046E4"/>
    <w:rsid w:val="00A04B7B"/>
    <w:rsid w:val="00A04C93"/>
    <w:rsid w:val="00A04D72"/>
    <w:rsid w:val="00A04DF5"/>
    <w:rsid w:val="00A04E38"/>
    <w:rsid w:val="00A05680"/>
    <w:rsid w:val="00A05758"/>
    <w:rsid w:val="00A05B32"/>
    <w:rsid w:val="00A05B3B"/>
    <w:rsid w:val="00A05BE4"/>
    <w:rsid w:val="00A069BA"/>
    <w:rsid w:val="00A06DC0"/>
    <w:rsid w:val="00A0782D"/>
    <w:rsid w:val="00A07DD3"/>
    <w:rsid w:val="00A129DE"/>
    <w:rsid w:val="00A13259"/>
    <w:rsid w:val="00A13B81"/>
    <w:rsid w:val="00A1419C"/>
    <w:rsid w:val="00A14418"/>
    <w:rsid w:val="00A147D0"/>
    <w:rsid w:val="00A14C15"/>
    <w:rsid w:val="00A14E5E"/>
    <w:rsid w:val="00A155A6"/>
    <w:rsid w:val="00A15749"/>
    <w:rsid w:val="00A16CA0"/>
    <w:rsid w:val="00A17112"/>
    <w:rsid w:val="00A176C6"/>
    <w:rsid w:val="00A17997"/>
    <w:rsid w:val="00A20037"/>
    <w:rsid w:val="00A21876"/>
    <w:rsid w:val="00A22329"/>
    <w:rsid w:val="00A22FFC"/>
    <w:rsid w:val="00A23591"/>
    <w:rsid w:val="00A23BCD"/>
    <w:rsid w:val="00A23CA8"/>
    <w:rsid w:val="00A24100"/>
    <w:rsid w:val="00A24F72"/>
    <w:rsid w:val="00A2562F"/>
    <w:rsid w:val="00A27211"/>
    <w:rsid w:val="00A27D90"/>
    <w:rsid w:val="00A30DE1"/>
    <w:rsid w:val="00A30FC3"/>
    <w:rsid w:val="00A31229"/>
    <w:rsid w:val="00A315F5"/>
    <w:rsid w:val="00A31A11"/>
    <w:rsid w:val="00A3238E"/>
    <w:rsid w:val="00A33604"/>
    <w:rsid w:val="00A33837"/>
    <w:rsid w:val="00A3454E"/>
    <w:rsid w:val="00A34959"/>
    <w:rsid w:val="00A34BAA"/>
    <w:rsid w:val="00A34E45"/>
    <w:rsid w:val="00A350F8"/>
    <w:rsid w:val="00A35331"/>
    <w:rsid w:val="00A35638"/>
    <w:rsid w:val="00A359F8"/>
    <w:rsid w:val="00A35C86"/>
    <w:rsid w:val="00A378FD"/>
    <w:rsid w:val="00A40092"/>
    <w:rsid w:val="00A40339"/>
    <w:rsid w:val="00A406FE"/>
    <w:rsid w:val="00A408DE"/>
    <w:rsid w:val="00A40D26"/>
    <w:rsid w:val="00A41DBD"/>
    <w:rsid w:val="00A43470"/>
    <w:rsid w:val="00A435F6"/>
    <w:rsid w:val="00A43A4E"/>
    <w:rsid w:val="00A43ED1"/>
    <w:rsid w:val="00A446F6"/>
    <w:rsid w:val="00A44705"/>
    <w:rsid w:val="00A449B0"/>
    <w:rsid w:val="00A44D7C"/>
    <w:rsid w:val="00A45E1E"/>
    <w:rsid w:val="00A471BB"/>
    <w:rsid w:val="00A5134E"/>
    <w:rsid w:val="00A5144F"/>
    <w:rsid w:val="00A51547"/>
    <w:rsid w:val="00A5176E"/>
    <w:rsid w:val="00A51F3A"/>
    <w:rsid w:val="00A52EE6"/>
    <w:rsid w:val="00A53ADF"/>
    <w:rsid w:val="00A54CB8"/>
    <w:rsid w:val="00A577D5"/>
    <w:rsid w:val="00A57E7A"/>
    <w:rsid w:val="00A60075"/>
    <w:rsid w:val="00A60B5C"/>
    <w:rsid w:val="00A60E00"/>
    <w:rsid w:val="00A61014"/>
    <w:rsid w:val="00A61026"/>
    <w:rsid w:val="00A611DA"/>
    <w:rsid w:val="00A618F9"/>
    <w:rsid w:val="00A61B34"/>
    <w:rsid w:val="00A61F20"/>
    <w:rsid w:val="00A62549"/>
    <w:rsid w:val="00A6329B"/>
    <w:rsid w:val="00A633A6"/>
    <w:rsid w:val="00A63FB9"/>
    <w:rsid w:val="00A64642"/>
    <w:rsid w:val="00A6569A"/>
    <w:rsid w:val="00A65AFF"/>
    <w:rsid w:val="00A65CE7"/>
    <w:rsid w:val="00A66F4D"/>
    <w:rsid w:val="00A67543"/>
    <w:rsid w:val="00A67B40"/>
    <w:rsid w:val="00A70C43"/>
    <w:rsid w:val="00A71240"/>
    <w:rsid w:val="00A71299"/>
    <w:rsid w:val="00A714E7"/>
    <w:rsid w:val="00A72163"/>
    <w:rsid w:val="00A723BF"/>
    <w:rsid w:val="00A723EB"/>
    <w:rsid w:val="00A7265D"/>
    <w:rsid w:val="00A732A2"/>
    <w:rsid w:val="00A7346B"/>
    <w:rsid w:val="00A7423F"/>
    <w:rsid w:val="00A743C2"/>
    <w:rsid w:val="00A74B38"/>
    <w:rsid w:val="00A754EB"/>
    <w:rsid w:val="00A7614B"/>
    <w:rsid w:val="00A761F0"/>
    <w:rsid w:val="00A77553"/>
    <w:rsid w:val="00A77AB4"/>
    <w:rsid w:val="00A77D24"/>
    <w:rsid w:val="00A81211"/>
    <w:rsid w:val="00A816A2"/>
    <w:rsid w:val="00A82DD6"/>
    <w:rsid w:val="00A831B7"/>
    <w:rsid w:val="00A8347A"/>
    <w:rsid w:val="00A83EA5"/>
    <w:rsid w:val="00A84467"/>
    <w:rsid w:val="00A8490E"/>
    <w:rsid w:val="00A849AE"/>
    <w:rsid w:val="00A84A34"/>
    <w:rsid w:val="00A85C4F"/>
    <w:rsid w:val="00A86BEF"/>
    <w:rsid w:val="00A87EA9"/>
    <w:rsid w:val="00A90106"/>
    <w:rsid w:val="00A90B7B"/>
    <w:rsid w:val="00A9173B"/>
    <w:rsid w:val="00A91B63"/>
    <w:rsid w:val="00A91B93"/>
    <w:rsid w:val="00A926FD"/>
    <w:rsid w:val="00A928B4"/>
    <w:rsid w:val="00A92DF4"/>
    <w:rsid w:val="00A932DE"/>
    <w:rsid w:val="00A939C5"/>
    <w:rsid w:val="00A9405B"/>
    <w:rsid w:val="00A94401"/>
    <w:rsid w:val="00A94B83"/>
    <w:rsid w:val="00A960CF"/>
    <w:rsid w:val="00A96D93"/>
    <w:rsid w:val="00A96DB6"/>
    <w:rsid w:val="00A97A5B"/>
    <w:rsid w:val="00AA0198"/>
    <w:rsid w:val="00AA0AF7"/>
    <w:rsid w:val="00AA0B24"/>
    <w:rsid w:val="00AA0C1D"/>
    <w:rsid w:val="00AA10DB"/>
    <w:rsid w:val="00AA179A"/>
    <w:rsid w:val="00AA1F9B"/>
    <w:rsid w:val="00AA28D2"/>
    <w:rsid w:val="00AA2B26"/>
    <w:rsid w:val="00AA3AB8"/>
    <w:rsid w:val="00AA3F4D"/>
    <w:rsid w:val="00AA4171"/>
    <w:rsid w:val="00AA41AF"/>
    <w:rsid w:val="00AA45E2"/>
    <w:rsid w:val="00AA5099"/>
    <w:rsid w:val="00AA558A"/>
    <w:rsid w:val="00AA5670"/>
    <w:rsid w:val="00AA56A4"/>
    <w:rsid w:val="00AA5A3C"/>
    <w:rsid w:val="00AA5E82"/>
    <w:rsid w:val="00AA6E40"/>
    <w:rsid w:val="00AA73AA"/>
    <w:rsid w:val="00AA79CB"/>
    <w:rsid w:val="00AB0966"/>
    <w:rsid w:val="00AB10CE"/>
    <w:rsid w:val="00AB2223"/>
    <w:rsid w:val="00AB253C"/>
    <w:rsid w:val="00AB3501"/>
    <w:rsid w:val="00AB4548"/>
    <w:rsid w:val="00AB50FC"/>
    <w:rsid w:val="00AB59CB"/>
    <w:rsid w:val="00AB6BDE"/>
    <w:rsid w:val="00AB7196"/>
    <w:rsid w:val="00AB7197"/>
    <w:rsid w:val="00AB74A7"/>
    <w:rsid w:val="00AB7F1F"/>
    <w:rsid w:val="00AC010F"/>
    <w:rsid w:val="00AC0BDB"/>
    <w:rsid w:val="00AC0F7A"/>
    <w:rsid w:val="00AC1050"/>
    <w:rsid w:val="00AC14DB"/>
    <w:rsid w:val="00AC16BC"/>
    <w:rsid w:val="00AC1A66"/>
    <w:rsid w:val="00AC1C61"/>
    <w:rsid w:val="00AC2AF3"/>
    <w:rsid w:val="00AC2BBA"/>
    <w:rsid w:val="00AC2BE1"/>
    <w:rsid w:val="00AC2FC2"/>
    <w:rsid w:val="00AC3269"/>
    <w:rsid w:val="00AC4220"/>
    <w:rsid w:val="00AC4312"/>
    <w:rsid w:val="00AC4DCC"/>
    <w:rsid w:val="00AC51A5"/>
    <w:rsid w:val="00AC559B"/>
    <w:rsid w:val="00AC66FA"/>
    <w:rsid w:val="00AC70A5"/>
    <w:rsid w:val="00AD0248"/>
    <w:rsid w:val="00AD0816"/>
    <w:rsid w:val="00AD1489"/>
    <w:rsid w:val="00AD195C"/>
    <w:rsid w:val="00AD1A19"/>
    <w:rsid w:val="00AD1D63"/>
    <w:rsid w:val="00AD26A9"/>
    <w:rsid w:val="00AD2EB3"/>
    <w:rsid w:val="00AD372B"/>
    <w:rsid w:val="00AD3DD3"/>
    <w:rsid w:val="00AD4547"/>
    <w:rsid w:val="00AD45DB"/>
    <w:rsid w:val="00AD540E"/>
    <w:rsid w:val="00AD5DE8"/>
    <w:rsid w:val="00AD5FCE"/>
    <w:rsid w:val="00AD65E4"/>
    <w:rsid w:val="00AD6781"/>
    <w:rsid w:val="00AD702B"/>
    <w:rsid w:val="00AD7676"/>
    <w:rsid w:val="00AE07A2"/>
    <w:rsid w:val="00AE1789"/>
    <w:rsid w:val="00AE21CC"/>
    <w:rsid w:val="00AE36A4"/>
    <w:rsid w:val="00AE37EC"/>
    <w:rsid w:val="00AE46E9"/>
    <w:rsid w:val="00AE59C5"/>
    <w:rsid w:val="00AE5F7C"/>
    <w:rsid w:val="00AE61B9"/>
    <w:rsid w:val="00AE64E5"/>
    <w:rsid w:val="00AE6837"/>
    <w:rsid w:val="00AE714E"/>
    <w:rsid w:val="00AE773B"/>
    <w:rsid w:val="00AE7788"/>
    <w:rsid w:val="00AE7E6D"/>
    <w:rsid w:val="00AF048E"/>
    <w:rsid w:val="00AF0AA6"/>
    <w:rsid w:val="00AF0EAF"/>
    <w:rsid w:val="00AF1130"/>
    <w:rsid w:val="00AF1192"/>
    <w:rsid w:val="00AF29E7"/>
    <w:rsid w:val="00AF2AA1"/>
    <w:rsid w:val="00AF37E4"/>
    <w:rsid w:val="00AF40F4"/>
    <w:rsid w:val="00AF4EF9"/>
    <w:rsid w:val="00AF59EE"/>
    <w:rsid w:val="00AF6A03"/>
    <w:rsid w:val="00AF72AB"/>
    <w:rsid w:val="00AF7B8A"/>
    <w:rsid w:val="00B001F6"/>
    <w:rsid w:val="00B00228"/>
    <w:rsid w:val="00B003B7"/>
    <w:rsid w:val="00B00AB5"/>
    <w:rsid w:val="00B00E0A"/>
    <w:rsid w:val="00B014F0"/>
    <w:rsid w:val="00B015A5"/>
    <w:rsid w:val="00B0166B"/>
    <w:rsid w:val="00B01807"/>
    <w:rsid w:val="00B01CB4"/>
    <w:rsid w:val="00B01FE5"/>
    <w:rsid w:val="00B0290E"/>
    <w:rsid w:val="00B02E60"/>
    <w:rsid w:val="00B03B81"/>
    <w:rsid w:val="00B057AD"/>
    <w:rsid w:val="00B05BC9"/>
    <w:rsid w:val="00B06103"/>
    <w:rsid w:val="00B061BD"/>
    <w:rsid w:val="00B0706D"/>
    <w:rsid w:val="00B07776"/>
    <w:rsid w:val="00B10307"/>
    <w:rsid w:val="00B10824"/>
    <w:rsid w:val="00B11067"/>
    <w:rsid w:val="00B114B2"/>
    <w:rsid w:val="00B116BF"/>
    <w:rsid w:val="00B1178C"/>
    <w:rsid w:val="00B12F28"/>
    <w:rsid w:val="00B12F9A"/>
    <w:rsid w:val="00B131B2"/>
    <w:rsid w:val="00B134AB"/>
    <w:rsid w:val="00B141ED"/>
    <w:rsid w:val="00B145B4"/>
    <w:rsid w:val="00B14E40"/>
    <w:rsid w:val="00B14F41"/>
    <w:rsid w:val="00B169B0"/>
    <w:rsid w:val="00B16C84"/>
    <w:rsid w:val="00B16CD4"/>
    <w:rsid w:val="00B16CFC"/>
    <w:rsid w:val="00B16EF0"/>
    <w:rsid w:val="00B17316"/>
    <w:rsid w:val="00B17DB5"/>
    <w:rsid w:val="00B20210"/>
    <w:rsid w:val="00B20468"/>
    <w:rsid w:val="00B204AD"/>
    <w:rsid w:val="00B2073B"/>
    <w:rsid w:val="00B210E9"/>
    <w:rsid w:val="00B22C85"/>
    <w:rsid w:val="00B22EC4"/>
    <w:rsid w:val="00B23F43"/>
    <w:rsid w:val="00B246EE"/>
    <w:rsid w:val="00B248F5"/>
    <w:rsid w:val="00B25730"/>
    <w:rsid w:val="00B2582C"/>
    <w:rsid w:val="00B25C51"/>
    <w:rsid w:val="00B25D31"/>
    <w:rsid w:val="00B25E02"/>
    <w:rsid w:val="00B268D2"/>
    <w:rsid w:val="00B26C46"/>
    <w:rsid w:val="00B26E10"/>
    <w:rsid w:val="00B312FD"/>
    <w:rsid w:val="00B31FA6"/>
    <w:rsid w:val="00B32FD7"/>
    <w:rsid w:val="00B33A92"/>
    <w:rsid w:val="00B33AEC"/>
    <w:rsid w:val="00B34356"/>
    <w:rsid w:val="00B3514A"/>
    <w:rsid w:val="00B351CC"/>
    <w:rsid w:val="00B3546A"/>
    <w:rsid w:val="00B35B0F"/>
    <w:rsid w:val="00B363A8"/>
    <w:rsid w:val="00B3649A"/>
    <w:rsid w:val="00B376B3"/>
    <w:rsid w:val="00B37902"/>
    <w:rsid w:val="00B37CFC"/>
    <w:rsid w:val="00B41748"/>
    <w:rsid w:val="00B41EAE"/>
    <w:rsid w:val="00B4237E"/>
    <w:rsid w:val="00B424C7"/>
    <w:rsid w:val="00B4361A"/>
    <w:rsid w:val="00B456CE"/>
    <w:rsid w:val="00B45DCA"/>
    <w:rsid w:val="00B45F01"/>
    <w:rsid w:val="00B4618F"/>
    <w:rsid w:val="00B46409"/>
    <w:rsid w:val="00B46B66"/>
    <w:rsid w:val="00B4716D"/>
    <w:rsid w:val="00B5015C"/>
    <w:rsid w:val="00B50F69"/>
    <w:rsid w:val="00B515E7"/>
    <w:rsid w:val="00B5194B"/>
    <w:rsid w:val="00B51DFC"/>
    <w:rsid w:val="00B5229E"/>
    <w:rsid w:val="00B52357"/>
    <w:rsid w:val="00B52517"/>
    <w:rsid w:val="00B5302B"/>
    <w:rsid w:val="00B53088"/>
    <w:rsid w:val="00B53E0B"/>
    <w:rsid w:val="00B54076"/>
    <w:rsid w:val="00B545A3"/>
    <w:rsid w:val="00B547AD"/>
    <w:rsid w:val="00B547C1"/>
    <w:rsid w:val="00B54CE4"/>
    <w:rsid w:val="00B5573F"/>
    <w:rsid w:val="00B5591B"/>
    <w:rsid w:val="00B569E5"/>
    <w:rsid w:val="00B5702D"/>
    <w:rsid w:val="00B5703A"/>
    <w:rsid w:val="00B57A06"/>
    <w:rsid w:val="00B57E72"/>
    <w:rsid w:val="00B60796"/>
    <w:rsid w:val="00B60836"/>
    <w:rsid w:val="00B60873"/>
    <w:rsid w:val="00B613A1"/>
    <w:rsid w:val="00B62786"/>
    <w:rsid w:val="00B62920"/>
    <w:rsid w:val="00B630D0"/>
    <w:rsid w:val="00B6370E"/>
    <w:rsid w:val="00B63A76"/>
    <w:rsid w:val="00B63CF3"/>
    <w:rsid w:val="00B63D9C"/>
    <w:rsid w:val="00B63EA2"/>
    <w:rsid w:val="00B6406A"/>
    <w:rsid w:val="00B65AC7"/>
    <w:rsid w:val="00B65FD0"/>
    <w:rsid w:val="00B66304"/>
    <w:rsid w:val="00B66FAC"/>
    <w:rsid w:val="00B67559"/>
    <w:rsid w:val="00B677E7"/>
    <w:rsid w:val="00B702D3"/>
    <w:rsid w:val="00B706F1"/>
    <w:rsid w:val="00B70B9C"/>
    <w:rsid w:val="00B70BF7"/>
    <w:rsid w:val="00B7108C"/>
    <w:rsid w:val="00B71C82"/>
    <w:rsid w:val="00B723F2"/>
    <w:rsid w:val="00B725CA"/>
    <w:rsid w:val="00B72B21"/>
    <w:rsid w:val="00B73100"/>
    <w:rsid w:val="00B73AD0"/>
    <w:rsid w:val="00B74901"/>
    <w:rsid w:val="00B74EE5"/>
    <w:rsid w:val="00B75A29"/>
    <w:rsid w:val="00B75D40"/>
    <w:rsid w:val="00B75FB1"/>
    <w:rsid w:val="00B76C18"/>
    <w:rsid w:val="00B76CF7"/>
    <w:rsid w:val="00B76D1B"/>
    <w:rsid w:val="00B803AA"/>
    <w:rsid w:val="00B80538"/>
    <w:rsid w:val="00B81132"/>
    <w:rsid w:val="00B8187F"/>
    <w:rsid w:val="00B827A9"/>
    <w:rsid w:val="00B839B7"/>
    <w:rsid w:val="00B83CE1"/>
    <w:rsid w:val="00B83DB0"/>
    <w:rsid w:val="00B83DD0"/>
    <w:rsid w:val="00B843CC"/>
    <w:rsid w:val="00B84766"/>
    <w:rsid w:val="00B84B9D"/>
    <w:rsid w:val="00B851A1"/>
    <w:rsid w:val="00B8719A"/>
    <w:rsid w:val="00B875B0"/>
    <w:rsid w:val="00B87A3B"/>
    <w:rsid w:val="00B87F9A"/>
    <w:rsid w:val="00B90D01"/>
    <w:rsid w:val="00B912DF"/>
    <w:rsid w:val="00B916DE"/>
    <w:rsid w:val="00B918B9"/>
    <w:rsid w:val="00B924F5"/>
    <w:rsid w:val="00B9261A"/>
    <w:rsid w:val="00B92683"/>
    <w:rsid w:val="00B9282E"/>
    <w:rsid w:val="00B92DA6"/>
    <w:rsid w:val="00B92EB0"/>
    <w:rsid w:val="00B9378D"/>
    <w:rsid w:val="00B938B6"/>
    <w:rsid w:val="00B93FFA"/>
    <w:rsid w:val="00B94DEE"/>
    <w:rsid w:val="00B951F3"/>
    <w:rsid w:val="00B95378"/>
    <w:rsid w:val="00B962A0"/>
    <w:rsid w:val="00B974C1"/>
    <w:rsid w:val="00BA03BB"/>
    <w:rsid w:val="00BA051D"/>
    <w:rsid w:val="00BA135E"/>
    <w:rsid w:val="00BA14AC"/>
    <w:rsid w:val="00BA1D1A"/>
    <w:rsid w:val="00BA45C9"/>
    <w:rsid w:val="00BA463D"/>
    <w:rsid w:val="00BA5FA7"/>
    <w:rsid w:val="00BA601C"/>
    <w:rsid w:val="00BA6C92"/>
    <w:rsid w:val="00BA73DE"/>
    <w:rsid w:val="00BA7C1A"/>
    <w:rsid w:val="00BB1227"/>
    <w:rsid w:val="00BB1ED8"/>
    <w:rsid w:val="00BB22CE"/>
    <w:rsid w:val="00BB2317"/>
    <w:rsid w:val="00BB349B"/>
    <w:rsid w:val="00BB43C9"/>
    <w:rsid w:val="00BB5064"/>
    <w:rsid w:val="00BB5350"/>
    <w:rsid w:val="00BB536A"/>
    <w:rsid w:val="00BB56A6"/>
    <w:rsid w:val="00BB5A2D"/>
    <w:rsid w:val="00BB5A4F"/>
    <w:rsid w:val="00BB5BF3"/>
    <w:rsid w:val="00BB5C15"/>
    <w:rsid w:val="00BB5C1B"/>
    <w:rsid w:val="00BB6B1F"/>
    <w:rsid w:val="00BB6FCD"/>
    <w:rsid w:val="00BC1426"/>
    <w:rsid w:val="00BC2D8A"/>
    <w:rsid w:val="00BC3422"/>
    <w:rsid w:val="00BC44BB"/>
    <w:rsid w:val="00BC48F0"/>
    <w:rsid w:val="00BC4EED"/>
    <w:rsid w:val="00BC4EF6"/>
    <w:rsid w:val="00BC577F"/>
    <w:rsid w:val="00BC5823"/>
    <w:rsid w:val="00BC5A38"/>
    <w:rsid w:val="00BC5C97"/>
    <w:rsid w:val="00BC6216"/>
    <w:rsid w:val="00BC6555"/>
    <w:rsid w:val="00BC7CB7"/>
    <w:rsid w:val="00BD04C0"/>
    <w:rsid w:val="00BD0920"/>
    <w:rsid w:val="00BD16B3"/>
    <w:rsid w:val="00BD425C"/>
    <w:rsid w:val="00BD4301"/>
    <w:rsid w:val="00BD4723"/>
    <w:rsid w:val="00BD5B15"/>
    <w:rsid w:val="00BD64B8"/>
    <w:rsid w:val="00BD66DC"/>
    <w:rsid w:val="00BD6906"/>
    <w:rsid w:val="00BD6A75"/>
    <w:rsid w:val="00BD6A8A"/>
    <w:rsid w:val="00BD6CD9"/>
    <w:rsid w:val="00BD7159"/>
    <w:rsid w:val="00BD726B"/>
    <w:rsid w:val="00BD7AF9"/>
    <w:rsid w:val="00BD7BAA"/>
    <w:rsid w:val="00BD7F88"/>
    <w:rsid w:val="00BE022F"/>
    <w:rsid w:val="00BE0447"/>
    <w:rsid w:val="00BE04B6"/>
    <w:rsid w:val="00BE07E5"/>
    <w:rsid w:val="00BE0AF1"/>
    <w:rsid w:val="00BE1192"/>
    <w:rsid w:val="00BE17B2"/>
    <w:rsid w:val="00BE1A91"/>
    <w:rsid w:val="00BE1DAC"/>
    <w:rsid w:val="00BE2742"/>
    <w:rsid w:val="00BE2A8E"/>
    <w:rsid w:val="00BE3BBA"/>
    <w:rsid w:val="00BE4366"/>
    <w:rsid w:val="00BE43CF"/>
    <w:rsid w:val="00BE46F2"/>
    <w:rsid w:val="00BE5466"/>
    <w:rsid w:val="00BE657B"/>
    <w:rsid w:val="00BE7C55"/>
    <w:rsid w:val="00BE7FCD"/>
    <w:rsid w:val="00BF116C"/>
    <w:rsid w:val="00BF1218"/>
    <w:rsid w:val="00BF1889"/>
    <w:rsid w:val="00BF2362"/>
    <w:rsid w:val="00BF2638"/>
    <w:rsid w:val="00BF3261"/>
    <w:rsid w:val="00BF341F"/>
    <w:rsid w:val="00BF390E"/>
    <w:rsid w:val="00BF4307"/>
    <w:rsid w:val="00BF5694"/>
    <w:rsid w:val="00BF5F95"/>
    <w:rsid w:val="00BF64DB"/>
    <w:rsid w:val="00BF6A9B"/>
    <w:rsid w:val="00BF7123"/>
    <w:rsid w:val="00BF7519"/>
    <w:rsid w:val="00C002CC"/>
    <w:rsid w:val="00C00950"/>
    <w:rsid w:val="00C010F6"/>
    <w:rsid w:val="00C0170C"/>
    <w:rsid w:val="00C017A6"/>
    <w:rsid w:val="00C018AF"/>
    <w:rsid w:val="00C01E9E"/>
    <w:rsid w:val="00C02254"/>
    <w:rsid w:val="00C033BE"/>
    <w:rsid w:val="00C03C98"/>
    <w:rsid w:val="00C03DA1"/>
    <w:rsid w:val="00C0449A"/>
    <w:rsid w:val="00C0539C"/>
    <w:rsid w:val="00C064F5"/>
    <w:rsid w:val="00C07CE4"/>
    <w:rsid w:val="00C07DFF"/>
    <w:rsid w:val="00C10077"/>
    <w:rsid w:val="00C1172F"/>
    <w:rsid w:val="00C117C1"/>
    <w:rsid w:val="00C117E8"/>
    <w:rsid w:val="00C11AC3"/>
    <w:rsid w:val="00C127DB"/>
    <w:rsid w:val="00C12A37"/>
    <w:rsid w:val="00C130F3"/>
    <w:rsid w:val="00C1346A"/>
    <w:rsid w:val="00C13DE0"/>
    <w:rsid w:val="00C1416D"/>
    <w:rsid w:val="00C144C4"/>
    <w:rsid w:val="00C147EC"/>
    <w:rsid w:val="00C14FEA"/>
    <w:rsid w:val="00C1559F"/>
    <w:rsid w:val="00C1601E"/>
    <w:rsid w:val="00C16030"/>
    <w:rsid w:val="00C1644C"/>
    <w:rsid w:val="00C16829"/>
    <w:rsid w:val="00C16B47"/>
    <w:rsid w:val="00C1798D"/>
    <w:rsid w:val="00C2060B"/>
    <w:rsid w:val="00C21C35"/>
    <w:rsid w:val="00C21CAB"/>
    <w:rsid w:val="00C24552"/>
    <w:rsid w:val="00C24B0D"/>
    <w:rsid w:val="00C24B9A"/>
    <w:rsid w:val="00C24EEE"/>
    <w:rsid w:val="00C262AC"/>
    <w:rsid w:val="00C26D25"/>
    <w:rsid w:val="00C278FF"/>
    <w:rsid w:val="00C27AC2"/>
    <w:rsid w:val="00C27BCF"/>
    <w:rsid w:val="00C30F28"/>
    <w:rsid w:val="00C30F93"/>
    <w:rsid w:val="00C31263"/>
    <w:rsid w:val="00C31412"/>
    <w:rsid w:val="00C3267C"/>
    <w:rsid w:val="00C32764"/>
    <w:rsid w:val="00C32E29"/>
    <w:rsid w:val="00C32EFA"/>
    <w:rsid w:val="00C33199"/>
    <w:rsid w:val="00C33A69"/>
    <w:rsid w:val="00C3554E"/>
    <w:rsid w:val="00C35877"/>
    <w:rsid w:val="00C35C6E"/>
    <w:rsid w:val="00C35FC0"/>
    <w:rsid w:val="00C37F90"/>
    <w:rsid w:val="00C403F8"/>
    <w:rsid w:val="00C40ED5"/>
    <w:rsid w:val="00C40F0E"/>
    <w:rsid w:val="00C40F81"/>
    <w:rsid w:val="00C43004"/>
    <w:rsid w:val="00C43AAA"/>
    <w:rsid w:val="00C43BF7"/>
    <w:rsid w:val="00C43F39"/>
    <w:rsid w:val="00C4491D"/>
    <w:rsid w:val="00C44F94"/>
    <w:rsid w:val="00C4507D"/>
    <w:rsid w:val="00C46113"/>
    <w:rsid w:val="00C463D1"/>
    <w:rsid w:val="00C466F6"/>
    <w:rsid w:val="00C46741"/>
    <w:rsid w:val="00C46FEE"/>
    <w:rsid w:val="00C4704B"/>
    <w:rsid w:val="00C47904"/>
    <w:rsid w:val="00C47B1D"/>
    <w:rsid w:val="00C47D20"/>
    <w:rsid w:val="00C47F96"/>
    <w:rsid w:val="00C5071B"/>
    <w:rsid w:val="00C50EC6"/>
    <w:rsid w:val="00C512BD"/>
    <w:rsid w:val="00C512E4"/>
    <w:rsid w:val="00C5265C"/>
    <w:rsid w:val="00C533D4"/>
    <w:rsid w:val="00C5358D"/>
    <w:rsid w:val="00C53856"/>
    <w:rsid w:val="00C5387D"/>
    <w:rsid w:val="00C54756"/>
    <w:rsid w:val="00C547E5"/>
    <w:rsid w:val="00C54A6C"/>
    <w:rsid w:val="00C54E8C"/>
    <w:rsid w:val="00C558F5"/>
    <w:rsid w:val="00C55DF4"/>
    <w:rsid w:val="00C56312"/>
    <w:rsid w:val="00C569B1"/>
    <w:rsid w:val="00C57084"/>
    <w:rsid w:val="00C572E6"/>
    <w:rsid w:val="00C5743D"/>
    <w:rsid w:val="00C6039A"/>
    <w:rsid w:val="00C60975"/>
    <w:rsid w:val="00C61499"/>
    <w:rsid w:val="00C61BBC"/>
    <w:rsid w:val="00C62A1C"/>
    <w:rsid w:val="00C62CBC"/>
    <w:rsid w:val="00C6306F"/>
    <w:rsid w:val="00C631E7"/>
    <w:rsid w:val="00C63B31"/>
    <w:rsid w:val="00C63DBB"/>
    <w:rsid w:val="00C63E72"/>
    <w:rsid w:val="00C64A3B"/>
    <w:rsid w:val="00C64B3C"/>
    <w:rsid w:val="00C64FCF"/>
    <w:rsid w:val="00C65885"/>
    <w:rsid w:val="00C659C2"/>
    <w:rsid w:val="00C65A1E"/>
    <w:rsid w:val="00C67FBA"/>
    <w:rsid w:val="00C7071B"/>
    <w:rsid w:val="00C70B46"/>
    <w:rsid w:val="00C70F48"/>
    <w:rsid w:val="00C717AD"/>
    <w:rsid w:val="00C71FA8"/>
    <w:rsid w:val="00C728FD"/>
    <w:rsid w:val="00C72A8B"/>
    <w:rsid w:val="00C73755"/>
    <w:rsid w:val="00C74179"/>
    <w:rsid w:val="00C749C5"/>
    <w:rsid w:val="00C74B20"/>
    <w:rsid w:val="00C74D43"/>
    <w:rsid w:val="00C753E6"/>
    <w:rsid w:val="00C75A61"/>
    <w:rsid w:val="00C75CC8"/>
    <w:rsid w:val="00C7686F"/>
    <w:rsid w:val="00C76BCC"/>
    <w:rsid w:val="00C7746A"/>
    <w:rsid w:val="00C779A7"/>
    <w:rsid w:val="00C77E26"/>
    <w:rsid w:val="00C77E47"/>
    <w:rsid w:val="00C802DC"/>
    <w:rsid w:val="00C80404"/>
    <w:rsid w:val="00C8082B"/>
    <w:rsid w:val="00C80CB9"/>
    <w:rsid w:val="00C815C8"/>
    <w:rsid w:val="00C822A5"/>
    <w:rsid w:val="00C82410"/>
    <w:rsid w:val="00C83C4D"/>
    <w:rsid w:val="00C83EA5"/>
    <w:rsid w:val="00C842FE"/>
    <w:rsid w:val="00C85503"/>
    <w:rsid w:val="00C85A44"/>
    <w:rsid w:val="00C8624C"/>
    <w:rsid w:val="00C8639A"/>
    <w:rsid w:val="00C879FA"/>
    <w:rsid w:val="00C87BE0"/>
    <w:rsid w:val="00C87EFE"/>
    <w:rsid w:val="00C90131"/>
    <w:rsid w:val="00C902EE"/>
    <w:rsid w:val="00C90E92"/>
    <w:rsid w:val="00C90F89"/>
    <w:rsid w:val="00C91B6B"/>
    <w:rsid w:val="00C91BCA"/>
    <w:rsid w:val="00C9208D"/>
    <w:rsid w:val="00C92929"/>
    <w:rsid w:val="00C929AE"/>
    <w:rsid w:val="00C92CFC"/>
    <w:rsid w:val="00C93262"/>
    <w:rsid w:val="00C934ED"/>
    <w:rsid w:val="00C93B92"/>
    <w:rsid w:val="00C94B2A"/>
    <w:rsid w:val="00C94FD5"/>
    <w:rsid w:val="00C964A1"/>
    <w:rsid w:val="00C96A44"/>
    <w:rsid w:val="00C96DB2"/>
    <w:rsid w:val="00C977A7"/>
    <w:rsid w:val="00CA00CD"/>
    <w:rsid w:val="00CA0E07"/>
    <w:rsid w:val="00CA1B43"/>
    <w:rsid w:val="00CA25D9"/>
    <w:rsid w:val="00CA2913"/>
    <w:rsid w:val="00CA2DBB"/>
    <w:rsid w:val="00CA3943"/>
    <w:rsid w:val="00CA3AE0"/>
    <w:rsid w:val="00CA53C5"/>
    <w:rsid w:val="00CA60D7"/>
    <w:rsid w:val="00CA6AC4"/>
    <w:rsid w:val="00CA6BD8"/>
    <w:rsid w:val="00CA6FA7"/>
    <w:rsid w:val="00CA7B57"/>
    <w:rsid w:val="00CA7B7B"/>
    <w:rsid w:val="00CB012F"/>
    <w:rsid w:val="00CB0569"/>
    <w:rsid w:val="00CB0F17"/>
    <w:rsid w:val="00CB1162"/>
    <w:rsid w:val="00CB123C"/>
    <w:rsid w:val="00CB124E"/>
    <w:rsid w:val="00CB1A7D"/>
    <w:rsid w:val="00CB2064"/>
    <w:rsid w:val="00CB2124"/>
    <w:rsid w:val="00CB22B2"/>
    <w:rsid w:val="00CB24A9"/>
    <w:rsid w:val="00CB2F33"/>
    <w:rsid w:val="00CB3544"/>
    <w:rsid w:val="00CB4182"/>
    <w:rsid w:val="00CB4A3C"/>
    <w:rsid w:val="00CB5BAB"/>
    <w:rsid w:val="00CB5C33"/>
    <w:rsid w:val="00CB5DF2"/>
    <w:rsid w:val="00CB664C"/>
    <w:rsid w:val="00CB66F6"/>
    <w:rsid w:val="00CB69E4"/>
    <w:rsid w:val="00CB6B0B"/>
    <w:rsid w:val="00CB6E86"/>
    <w:rsid w:val="00CB70CB"/>
    <w:rsid w:val="00CB71ED"/>
    <w:rsid w:val="00CB7211"/>
    <w:rsid w:val="00CB72B7"/>
    <w:rsid w:val="00CC01C7"/>
    <w:rsid w:val="00CC0251"/>
    <w:rsid w:val="00CC06BC"/>
    <w:rsid w:val="00CC1123"/>
    <w:rsid w:val="00CC1139"/>
    <w:rsid w:val="00CC12AB"/>
    <w:rsid w:val="00CC196D"/>
    <w:rsid w:val="00CC1AF2"/>
    <w:rsid w:val="00CC2031"/>
    <w:rsid w:val="00CC225F"/>
    <w:rsid w:val="00CC2777"/>
    <w:rsid w:val="00CC37D6"/>
    <w:rsid w:val="00CC3939"/>
    <w:rsid w:val="00CC4372"/>
    <w:rsid w:val="00CC4DE1"/>
    <w:rsid w:val="00CC4EDB"/>
    <w:rsid w:val="00CC54EA"/>
    <w:rsid w:val="00CC5598"/>
    <w:rsid w:val="00CC5ECF"/>
    <w:rsid w:val="00CC5F9D"/>
    <w:rsid w:val="00CC67DE"/>
    <w:rsid w:val="00CC6B1B"/>
    <w:rsid w:val="00CC6EE3"/>
    <w:rsid w:val="00CC7A2D"/>
    <w:rsid w:val="00CD024C"/>
    <w:rsid w:val="00CD1411"/>
    <w:rsid w:val="00CD1753"/>
    <w:rsid w:val="00CD1A22"/>
    <w:rsid w:val="00CD1BB2"/>
    <w:rsid w:val="00CD1C87"/>
    <w:rsid w:val="00CD2A19"/>
    <w:rsid w:val="00CD2FEF"/>
    <w:rsid w:val="00CD3AA9"/>
    <w:rsid w:val="00CD3B6B"/>
    <w:rsid w:val="00CD3E1E"/>
    <w:rsid w:val="00CD3EBE"/>
    <w:rsid w:val="00CD40A5"/>
    <w:rsid w:val="00CD4B57"/>
    <w:rsid w:val="00CD4B63"/>
    <w:rsid w:val="00CD5550"/>
    <w:rsid w:val="00CD5888"/>
    <w:rsid w:val="00CD5A48"/>
    <w:rsid w:val="00CD7106"/>
    <w:rsid w:val="00CD7321"/>
    <w:rsid w:val="00CE130C"/>
    <w:rsid w:val="00CE1488"/>
    <w:rsid w:val="00CE1FA8"/>
    <w:rsid w:val="00CE20DB"/>
    <w:rsid w:val="00CE211B"/>
    <w:rsid w:val="00CE2F6E"/>
    <w:rsid w:val="00CE37E3"/>
    <w:rsid w:val="00CE400D"/>
    <w:rsid w:val="00CE454D"/>
    <w:rsid w:val="00CE494A"/>
    <w:rsid w:val="00CE4B0F"/>
    <w:rsid w:val="00CE4CEB"/>
    <w:rsid w:val="00CE527B"/>
    <w:rsid w:val="00CE627C"/>
    <w:rsid w:val="00CE647B"/>
    <w:rsid w:val="00CE66F4"/>
    <w:rsid w:val="00CE6DB6"/>
    <w:rsid w:val="00CE749E"/>
    <w:rsid w:val="00CE7941"/>
    <w:rsid w:val="00CF05E9"/>
    <w:rsid w:val="00CF0863"/>
    <w:rsid w:val="00CF0A2B"/>
    <w:rsid w:val="00CF12B9"/>
    <w:rsid w:val="00CF1650"/>
    <w:rsid w:val="00CF19EA"/>
    <w:rsid w:val="00CF2106"/>
    <w:rsid w:val="00CF212F"/>
    <w:rsid w:val="00CF23E3"/>
    <w:rsid w:val="00CF25B7"/>
    <w:rsid w:val="00CF290D"/>
    <w:rsid w:val="00CF309C"/>
    <w:rsid w:val="00CF3716"/>
    <w:rsid w:val="00CF3BC9"/>
    <w:rsid w:val="00CF3F83"/>
    <w:rsid w:val="00CF4FBA"/>
    <w:rsid w:val="00CF6299"/>
    <w:rsid w:val="00CF7822"/>
    <w:rsid w:val="00D023F1"/>
    <w:rsid w:val="00D035F0"/>
    <w:rsid w:val="00D039CD"/>
    <w:rsid w:val="00D03B85"/>
    <w:rsid w:val="00D0458C"/>
    <w:rsid w:val="00D04641"/>
    <w:rsid w:val="00D0478A"/>
    <w:rsid w:val="00D049FA"/>
    <w:rsid w:val="00D04B05"/>
    <w:rsid w:val="00D050DC"/>
    <w:rsid w:val="00D05988"/>
    <w:rsid w:val="00D05C20"/>
    <w:rsid w:val="00D05D19"/>
    <w:rsid w:val="00D0688E"/>
    <w:rsid w:val="00D06A0F"/>
    <w:rsid w:val="00D06AD2"/>
    <w:rsid w:val="00D074AB"/>
    <w:rsid w:val="00D1069D"/>
    <w:rsid w:val="00D110EA"/>
    <w:rsid w:val="00D11613"/>
    <w:rsid w:val="00D118E9"/>
    <w:rsid w:val="00D11BD6"/>
    <w:rsid w:val="00D12E5B"/>
    <w:rsid w:val="00D13403"/>
    <w:rsid w:val="00D13953"/>
    <w:rsid w:val="00D13B45"/>
    <w:rsid w:val="00D1400A"/>
    <w:rsid w:val="00D14D6A"/>
    <w:rsid w:val="00D150E6"/>
    <w:rsid w:val="00D1589D"/>
    <w:rsid w:val="00D15CEB"/>
    <w:rsid w:val="00D15D5F"/>
    <w:rsid w:val="00D161CA"/>
    <w:rsid w:val="00D171E0"/>
    <w:rsid w:val="00D174DB"/>
    <w:rsid w:val="00D200BE"/>
    <w:rsid w:val="00D203B8"/>
    <w:rsid w:val="00D20670"/>
    <w:rsid w:val="00D20FD5"/>
    <w:rsid w:val="00D21D95"/>
    <w:rsid w:val="00D220D5"/>
    <w:rsid w:val="00D248EF"/>
    <w:rsid w:val="00D24B56"/>
    <w:rsid w:val="00D251BD"/>
    <w:rsid w:val="00D2542A"/>
    <w:rsid w:val="00D254E3"/>
    <w:rsid w:val="00D256E5"/>
    <w:rsid w:val="00D25A51"/>
    <w:rsid w:val="00D26E04"/>
    <w:rsid w:val="00D2736B"/>
    <w:rsid w:val="00D30475"/>
    <w:rsid w:val="00D308D4"/>
    <w:rsid w:val="00D310D1"/>
    <w:rsid w:val="00D3110F"/>
    <w:rsid w:val="00D32427"/>
    <w:rsid w:val="00D329D8"/>
    <w:rsid w:val="00D32BB1"/>
    <w:rsid w:val="00D34736"/>
    <w:rsid w:val="00D34B4A"/>
    <w:rsid w:val="00D34BD0"/>
    <w:rsid w:val="00D34ECF"/>
    <w:rsid w:val="00D35991"/>
    <w:rsid w:val="00D35AD9"/>
    <w:rsid w:val="00D35B62"/>
    <w:rsid w:val="00D35B84"/>
    <w:rsid w:val="00D36E0E"/>
    <w:rsid w:val="00D3709F"/>
    <w:rsid w:val="00D37979"/>
    <w:rsid w:val="00D41508"/>
    <w:rsid w:val="00D41750"/>
    <w:rsid w:val="00D4281D"/>
    <w:rsid w:val="00D430BF"/>
    <w:rsid w:val="00D438F0"/>
    <w:rsid w:val="00D441B0"/>
    <w:rsid w:val="00D441D5"/>
    <w:rsid w:val="00D44DE3"/>
    <w:rsid w:val="00D454C1"/>
    <w:rsid w:val="00D457F5"/>
    <w:rsid w:val="00D45E27"/>
    <w:rsid w:val="00D4626D"/>
    <w:rsid w:val="00D4687D"/>
    <w:rsid w:val="00D469C8"/>
    <w:rsid w:val="00D46F59"/>
    <w:rsid w:val="00D47533"/>
    <w:rsid w:val="00D47B9F"/>
    <w:rsid w:val="00D5014C"/>
    <w:rsid w:val="00D505CD"/>
    <w:rsid w:val="00D506BB"/>
    <w:rsid w:val="00D50919"/>
    <w:rsid w:val="00D51104"/>
    <w:rsid w:val="00D5131F"/>
    <w:rsid w:val="00D515AD"/>
    <w:rsid w:val="00D51BE8"/>
    <w:rsid w:val="00D54721"/>
    <w:rsid w:val="00D55052"/>
    <w:rsid w:val="00D55192"/>
    <w:rsid w:val="00D553AC"/>
    <w:rsid w:val="00D55972"/>
    <w:rsid w:val="00D55C7E"/>
    <w:rsid w:val="00D56A22"/>
    <w:rsid w:val="00D56B6A"/>
    <w:rsid w:val="00D5737C"/>
    <w:rsid w:val="00D6038C"/>
    <w:rsid w:val="00D609E7"/>
    <w:rsid w:val="00D611CC"/>
    <w:rsid w:val="00D61D97"/>
    <w:rsid w:val="00D61F4E"/>
    <w:rsid w:val="00D61FE3"/>
    <w:rsid w:val="00D6214B"/>
    <w:rsid w:val="00D62307"/>
    <w:rsid w:val="00D6284E"/>
    <w:rsid w:val="00D6297C"/>
    <w:rsid w:val="00D62D57"/>
    <w:rsid w:val="00D64216"/>
    <w:rsid w:val="00D648C2"/>
    <w:rsid w:val="00D6499E"/>
    <w:rsid w:val="00D64FB8"/>
    <w:rsid w:val="00D6534A"/>
    <w:rsid w:val="00D65730"/>
    <w:rsid w:val="00D679AF"/>
    <w:rsid w:val="00D67D90"/>
    <w:rsid w:val="00D7079F"/>
    <w:rsid w:val="00D7152D"/>
    <w:rsid w:val="00D7164E"/>
    <w:rsid w:val="00D71ED5"/>
    <w:rsid w:val="00D72006"/>
    <w:rsid w:val="00D72438"/>
    <w:rsid w:val="00D7287A"/>
    <w:rsid w:val="00D72DF6"/>
    <w:rsid w:val="00D739CF"/>
    <w:rsid w:val="00D74C0F"/>
    <w:rsid w:val="00D74D93"/>
    <w:rsid w:val="00D76B33"/>
    <w:rsid w:val="00D77688"/>
    <w:rsid w:val="00D8001A"/>
    <w:rsid w:val="00D8057D"/>
    <w:rsid w:val="00D80D36"/>
    <w:rsid w:val="00D8172E"/>
    <w:rsid w:val="00D8187A"/>
    <w:rsid w:val="00D826D9"/>
    <w:rsid w:val="00D8388E"/>
    <w:rsid w:val="00D83A19"/>
    <w:rsid w:val="00D844DA"/>
    <w:rsid w:val="00D84523"/>
    <w:rsid w:val="00D848F5"/>
    <w:rsid w:val="00D859A1"/>
    <w:rsid w:val="00D85C04"/>
    <w:rsid w:val="00D85EC2"/>
    <w:rsid w:val="00D86FE3"/>
    <w:rsid w:val="00D87A4D"/>
    <w:rsid w:val="00D87D8F"/>
    <w:rsid w:val="00D910C5"/>
    <w:rsid w:val="00D915A1"/>
    <w:rsid w:val="00D916A6"/>
    <w:rsid w:val="00D93141"/>
    <w:rsid w:val="00D93C73"/>
    <w:rsid w:val="00D951BB"/>
    <w:rsid w:val="00D956E2"/>
    <w:rsid w:val="00D95F46"/>
    <w:rsid w:val="00D96D70"/>
    <w:rsid w:val="00D97418"/>
    <w:rsid w:val="00D976EF"/>
    <w:rsid w:val="00D97C1A"/>
    <w:rsid w:val="00DA0284"/>
    <w:rsid w:val="00DA161D"/>
    <w:rsid w:val="00DA1D3A"/>
    <w:rsid w:val="00DA1DBE"/>
    <w:rsid w:val="00DA2E32"/>
    <w:rsid w:val="00DA3B17"/>
    <w:rsid w:val="00DA438C"/>
    <w:rsid w:val="00DA4BEA"/>
    <w:rsid w:val="00DA4F1A"/>
    <w:rsid w:val="00DA5645"/>
    <w:rsid w:val="00DA5FB6"/>
    <w:rsid w:val="00DA6685"/>
    <w:rsid w:val="00DA67D6"/>
    <w:rsid w:val="00DA6823"/>
    <w:rsid w:val="00DA6C77"/>
    <w:rsid w:val="00DA7A3C"/>
    <w:rsid w:val="00DA7E40"/>
    <w:rsid w:val="00DB0408"/>
    <w:rsid w:val="00DB0F61"/>
    <w:rsid w:val="00DB12D2"/>
    <w:rsid w:val="00DB13B5"/>
    <w:rsid w:val="00DB1B41"/>
    <w:rsid w:val="00DB3AD6"/>
    <w:rsid w:val="00DB4053"/>
    <w:rsid w:val="00DB46D8"/>
    <w:rsid w:val="00DB470A"/>
    <w:rsid w:val="00DB4A56"/>
    <w:rsid w:val="00DB53F1"/>
    <w:rsid w:val="00DB54AE"/>
    <w:rsid w:val="00DB64DD"/>
    <w:rsid w:val="00DB671A"/>
    <w:rsid w:val="00DB6B8B"/>
    <w:rsid w:val="00DB73C4"/>
    <w:rsid w:val="00DB7D0A"/>
    <w:rsid w:val="00DC05C2"/>
    <w:rsid w:val="00DC0634"/>
    <w:rsid w:val="00DC07A2"/>
    <w:rsid w:val="00DC1437"/>
    <w:rsid w:val="00DC206E"/>
    <w:rsid w:val="00DC3343"/>
    <w:rsid w:val="00DC3AE8"/>
    <w:rsid w:val="00DC3CD4"/>
    <w:rsid w:val="00DC4335"/>
    <w:rsid w:val="00DC47D0"/>
    <w:rsid w:val="00DC47DA"/>
    <w:rsid w:val="00DC5970"/>
    <w:rsid w:val="00DC59DF"/>
    <w:rsid w:val="00DC7BA9"/>
    <w:rsid w:val="00DD09F1"/>
    <w:rsid w:val="00DD19BA"/>
    <w:rsid w:val="00DD2093"/>
    <w:rsid w:val="00DD21E4"/>
    <w:rsid w:val="00DD2393"/>
    <w:rsid w:val="00DD2EB7"/>
    <w:rsid w:val="00DD428C"/>
    <w:rsid w:val="00DD44D0"/>
    <w:rsid w:val="00DD4FBE"/>
    <w:rsid w:val="00DD5996"/>
    <w:rsid w:val="00DD6B2E"/>
    <w:rsid w:val="00DD7148"/>
    <w:rsid w:val="00DD7C04"/>
    <w:rsid w:val="00DD7DB2"/>
    <w:rsid w:val="00DD7F6D"/>
    <w:rsid w:val="00DE08F9"/>
    <w:rsid w:val="00DE0969"/>
    <w:rsid w:val="00DE0F08"/>
    <w:rsid w:val="00DE145A"/>
    <w:rsid w:val="00DE1835"/>
    <w:rsid w:val="00DE185C"/>
    <w:rsid w:val="00DE1957"/>
    <w:rsid w:val="00DE1A00"/>
    <w:rsid w:val="00DE27E0"/>
    <w:rsid w:val="00DE2D0C"/>
    <w:rsid w:val="00DE2E70"/>
    <w:rsid w:val="00DE374F"/>
    <w:rsid w:val="00DE3EA1"/>
    <w:rsid w:val="00DE4484"/>
    <w:rsid w:val="00DE4AFD"/>
    <w:rsid w:val="00DE4C72"/>
    <w:rsid w:val="00DE4D64"/>
    <w:rsid w:val="00DE5600"/>
    <w:rsid w:val="00DE61EA"/>
    <w:rsid w:val="00DE71F0"/>
    <w:rsid w:val="00DE7650"/>
    <w:rsid w:val="00DE7CA5"/>
    <w:rsid w:val="00DE7DA6"/>
    <w:rsid w:val="00DF0F28"/>
    <w:rsid w:val="00DF10F2"/>
    <w:rsid w:val="00DF3098"/>
    <w:rsid w:val="00DF40FA"/>
    <w:rsid w:val="00DF466B"/>
    <w:rsid w:val="00DF4C00"/>
    <w:rsid w:val="00DF561E"/>
    <w:rsid w:val="00DF6F94"/>
    <w:rsid w:val="00DF772E"/>
    <w:rsid w:val="00E00846"/>
    <w:rsid w:val="00E0167F"/>
    <w:rsid w:val="00E0264E"/>
    <w:rsid w:val="00E03692"/>
    <w:rsid w:val="00E0374F"/>
    <w:rsid w:val="00E03BFA"/>
    <w:rsid w:val="00E0422E"/>
    <w:rsid w:val="00E04479"/>
    <w:rsid w:val="00E04689"/>
    <w:rsid w:val="00E04AAD"/>
    <w:rsid w:val="00E0584D"/>
    <w:rsid w:val="00E05E4A"/>
    <w:rsid w:val="00E05FE9"/>
    <w:rsid w:val="00E06870"/>
    <w:rsid w:val="00E079B8"/>
    <w:rsid w:val="00E07BE4"/>
    <w:rsid w:val="00E07EED"/>
    <w:rsid w:val="00E10011"/>
    <w:rsid w:val="00E10FA3"/>
    <w:rsid w:val="00E1113F"/>
    <w:rsid w:val="00E11661"/>
    <w:rsid w:val="00E119D9"/>
    <w:rsid w:val="00E11F5D"/>
    <w:rsid w:val="00E12D00"/>
    <w:rsid w:val="00E139D7"/>
    <w:rsid w:val="00E13B78"/>
    <w:rsid w:val="00E13FA9"/>
    <w:rsid w:val="00E14E67"/>
    <w:rsid w:val="00E153CC"/>
    <w:rsid w:val="00E16448"/>
    <w:rsid w:val="00E16CCB"/>
    <w:rsid w:val="00E16D6F"/>
    <w:rsid w:val="00E20E69"/>
    <w:rsid w:val="00E21C1A"/>
    <w:rsid w:val="00E23784"/>
    <w:rsid w:val="00E23C69"/>
    <w:rsid w:val="00E23E95"/>
    <w:rsid w:val="00E2544A"/>
    <w:rsid w:val="00E25BB2"/>
    <w:rsid w:val="00E26B7D"/>
    <w:rsid w:val="00E27109"/>
    <w:rsid w:val="00E27254"/>
    <w:rsid w:val="00E27690"/>
    <w:rsid w:val="00E27880"/>
    <w:rsid w:val="00E30118"/>
    <w:rsid w:val="00E30457"/>
    <w:rsid w:val="00E30D18"/>
    <w:rsid w:val="00E31087"/>
    <w:rsid w:val="00E3109F"/>
    <w:rsid w:val="00E3127C"/>
    <w:rsid w:val="00E32A54"/>
    <w:rsid w:val="00E3335D"/>
    <w:rsid w:val="00E33DF2"/>
    <w:rsid w:val="00E33E8C"/>
    <w:rsid w:val="00E340FA"/>
    <w:rsid w:val="00E348F2"/>
    <w:rsid w:val="00E35B8A"/>
    <w:rsid w:val="00E360FF"/>
    <w:rsid w:val="00E3653B"/>
    <w:rsid w:val="00E369AA"/>
    <w:rsid w:val="00E3718D"/>
    <w:rsid w:val="00E377C0"/>
    <w:rsid w:val="00E378A1"/>
    <w:rsid w:val="00E401ED"/>
    <w:rsid w:val="00E405A1"/>
    <w:rsid w:val="00E40CAF"/>
    <w:rsid w:val="00E41229"/>
    <w:rsid w:val="00E4155E"/>
    <w:rsid w:val="00E41C90"/>
    <w:rsid w:val="00E423B3"/>
    <w:rsid w:val="00E4256A"/>
    <w:rsid w:val="00E4308F"/>
    <w:rsid w:val="00E4489B"/>
    <w:rsid w:val="00E44ADB"/>
    <w:rsid w:val="00E45ED8"/>
    <w:rsid w:val="00E46032"/>
    <w:rsid w:val="00E46A7D"/>
    <w:rsid w:val="00E46EA2"/>
    <w:rsid w:val="00E46F63"/>
    <w:rsid w:val="00E474E8"/>
    <w:rsid w:val="00E47ADC"/>
    <w:rsid w:val="00E50768"/>
    <w:rsid w:val="00E508D7"/>
    <w:rsid w:val="00E5108B"/>
    <w:rsid w:val="00E51366"/>
    <w:rsid w:val="00E516A2"/>
    <w:rsid w:val="00E51F50"/>
    <w:rsid w:val="00E5242B"/>
    <w:rsid w:val="00E524FD"/>
    <w:rsid w:val="00E52F4D"/>
    <w:rsid w:val="00E53E2F"/>
    <w:rsid w:val="00E54711"/>
    <w:rsid w:val="00E55AA3"/>
    <w:rsid w:val="00E55BA7"/>
    <w:rsid w:val="00E56B38"/>
    <w:rsid w:val="00E57A29"/>
    <w:rsid w:val="00E60B25"/>
    <w:rsid w:val="00E613EA"/>
    <w:rsid w:val="00E61E23"/>
    <w:rsid w:val="00E625C8"/>
    <w:rsid w:val="00E62E73"/>
    <w:rsid w:val="00E632B5"/>
    <w:rsid w:val="00E63322"/>
    <w:rsid w:val="00E638D5"/>
    <w:rsid w:val="00E63CBB"/>
    <w:rsid w:val="00E64EF6"/>
    <w:rsid w:val="00E658F8"/>
    <w:rsid w:val="00E65A71"/>
    <w:rsid w:val="00E65BF5"/>
    <w:rsid w:val="00E65CDD"/>
    <w:rsid w:val="00E65DB1"/>
    <w:rsid w:val="00E661E7"/>
    <w:rsid w:val="00E66697"/>
    <w:rsid w:val="00E66770"/>
    <w:rsid w:val="00E66868"/>
    <w:rsid w:val="00E66BB1"/>
    <w:rsid w:val="00E66FD6"/>
    <w:rsid w:val="00E67924"/>
    <w:rsid w:val="00E67B33"/>
    <w:rsid w:val="00E70801"/>
    <w:rsid w:val="00E70D3A"/>
    <w:rsid w:val="00E718AC"/>
    <w:rsid w:val="00E72F43"/>
    <w:rsid w:val="00E72FB1"/>
    <w:rsid w:val="00E73B4F"/>
    <w:rsid w:val="00E73BF0"/>
    <w:rsid w:val="00E74218"/>
    <w:rsid w:val="00E759A2"/>
    <w:rsid w:val="00E75EDE"/>
    <w:rsid w:val="00E76181"/>
    <w:rsid w:val="00E76271"/>
    <w:rsid w:val="00E77559"/>
    <w:rsid w:val="00E80116"/>
    <w:rsid w:val="00E811ED"/>
    <w:rsid w:val="00E817D0"/>
    <w:rsid w:val="00E81AC3"/>
    <w:rsid w:val="00E82149"/>
    <w:rsid w:val="00E821DE"/>
    <w:rsid w:val="00E82333"/>
    <w:rsid w:val="00E83531"/>
    <w:rsid w:val="00E841B0"/>
    <w:rsid w:val="00E844FA"/>
    <w:rsid w:val="00E84819"/>
    <w:rsid w:val="00E84BEB"/>
    <w:rsid w:val="00E84EB3"/>
    <w:rsid w:val="00E84F1D"/>
    <w:rsid w:val="00E85164"/>
    <w:rsid w:val="00E8532B"/>
    <w:rsid w:val="00E87144"/>
    <w:rsid w:val="00E875EC"/>
    <w:rsid w:val="00E87E35"/>
    <w:rsid w:val="00E87F2B"/>
    <w:rsid w:val="00E903DC"/>
    <w:rsid w:val="00E904FE"/>
    <w:rsid w:val="00E9111E"/>
    <w:rsid w:val="00E914A2"/>
    <w:rsid w:val="00E91610"/>
    <w:rsid w:val="00E91C25"/>
    <w:rsid w:val="00E938DF"/>
    <w:rsid w:val="00E94469"/>
    <w:rsid w:val="00E958EC"/>
    <w:rsid w:val="00E95B66"/>
    <w:rsid w:val="00E95C73"/>
    <w:rsid w:val="00E969B1"/>
    <w:rsid w:val="00E96EF2"/>
    <w:rsid w:val="00E9714B"/>
    <w:rsid w:val="00E97830"/>
    <w:rsid w:val="00EA000A"/>
    <w:rsid w:val="00EA034A"/>
    <w:rsid w:val="00EA0C03"/>
    <w:rsid w:val="00EA0C67"/>
    <w:rsid w:val="00EA1A1E"/>
    <w:rsid w:val="00EA23D5"/>
    <w:rsid w:val="00EA2693"/>
    <w:rsid w:val="00EA27D5"/>
    <w:rsid w:val="00EA29A4"/>
    <w:rsid w:val="00EA2DC3"/>
    <w:rsid w:val="00EA3301"/>
    <w:rsid w:val="00EA50D3"/>
    <w:rsid w:val="00EA5182"/>
    <w:rsid w:val="00EA5239"/>
    <w:rsid w:val="00EA5A92"/>
    <w:rsid w:val="00EA5C7C"/>
    <w:rsid w:val="00EA6510"/>
    <w:rsid w:val="00EA6905"/>
    <w:rsid w:val="00EB00E1"/>
    <w:rsid w:val="00EB0839"/>
    <w:rsid w:val="00EB0BC0"/>
    <w:rsid w:val="00EB11F8"/>
    <w:rsid w:val="00EB276B"/>
    <w:rsid w:val="00EB3118"/>
    <w:rsid w:val="00EB34AA"/>
    <w:rsid w:val="00EB679B"/>
    <w:rsid w:val="00EB7A5D"/>
    <w:rsid w:val="00EC01F4"/>
    <w:rsid w:val="00EC092D"/>
    <w:rsid w:val="00EC0BC5"/>
    <w:rsid w:val="00EC0DDD"/>
    <w:rsid w:val="00EC1B03"/>
    <w:rsid w:val="00EC1BA8"/>
    <w:rsid w:val="00EC3D55"/>
    <w:rsid w:val="00EC44E4"/>
    <w:rsid w:val="00EC4873"/>
    <w:rsid w:val="00EC48D5"/>
    <w:rsid w:val="00EC4A10"/>
    <w:rsid w:val="00EC4C49"/>
    <w:rsid w:val="00EC4D94"/>
    <w:rsid w:val="00EC4FEE"/>
    <w:rsid w:val="00EC528B"/>
    <w:rsid w:val="00EC5672"/>
    <w:rsid w:val="00EC5DED"/>
    <w:rsid w:val="00EC607E"/>
    <w:rsid w:val="00EC625B"/>
    <w:rsid w:val="00EC6383"/>
    <w:rsid w:val="00EC6BAB"/>
    <w:rsid w:val="00EC7E4D"/>
    <w:rsid w:val="00ED0531"/>
    <w:rsid w:val="00ED12E3"/>
    <w:rsid w:val="00ED1342"/>
    <w:rsid w:val="00ED1416"/>
    <w:rsid w:val="00ED1A69"/>
    <w:rsid w:val="00ED1B17"/>
    <w:rsid w:val="00ED1F4F"/>
    <w:rsid w:val="00ED1FBC"/>
    <w:rsid w:val="00ED25A6"/>
    <w:rsid w:val="00ED2C99"/>
    <w:rsid w:val="00ED378F"/>
    <w:rsid w:val="00ED4CAE"/>
    <w:rsid w:val="00ED544E"/>
    <w:rsid w:val="00ED54DB"/>
    <w:rsid w:val="00ED5AE7"/>
    <w:rsid w:val="00ED6495"/>
    <w:rsid w:val="00ED6720"/>
    <w:rsid w:val="00ED6993"/>
    <w:rsid w:val="00ED6CE3"/>
    <w:rsid w:val="00ED6D17"/>
    <w:rsid w:val="00ED7CF3"/>
    <w:rsid w:val="00EE0568"/>
    <w:rsid w:val="00EE075B"/>
    <w:rsid w:val="00EE0789"/>
    <w:rsid w:val="00EE2CDF"/>
    <w:rsid w:val="00EE2ECA"/>
    <w:rsid w:val="00EE30A6"/>
    <w:rsid w:val="00EE3128"/>
    <w:rsid w:val="00EE31BE"/>
    <w:rsid w:val="00EE3952"/>
    <w:rsid w:val="00EE5D2E"/>
    <w:rsid w:val="00EE67AC"/>
    <w:rsid w:val="00EE6973"/>
    <w:rsid w:val="00EE6FD8"/>
    <w:rsid w:val="00EE734C"/>
    <w:rsid w:val="00EE7578"/>
    <w:rsid w:val="00EE7BB3"/>
    <w:rsid w:val="00EE7F06"/>
    <w:rsid w:val="00EF00D4"/>
    <w:rsid w:val="00EF0B0D"/>
    <w:rsid w:val="00EF15F5"/>
    <w:rsid w:val="00EF206E"/>
    <w:rsid w:val="00EF20CF"/>
    <w:rsid w:val="00EF24CE"/>
    <w:rsid w:val="00EF2A25"/>
    <w:rsid w:val="00EF311C"/>
    <w:rsid w:val="00EF328D"/>
    <w:rsid w:val="00EF34BD"/>
    <w:rsid w:val="00EF34D1"/>
    <w:rsid w:val="00EF3651"/>
    <w:rsid w:val="00EF3814"/>
    <w:rsid w:val="00EF4033"/>
    <w:rsid w:val="00EF48E2"/>
    <w:rsid w:val="00EF5DF9"/>
    <w:rsid w:val="00EF7CE0"/>
    <w:rsid w:val="00F00300"/>
    <w:rsid w:val="00F009B1"/>
    <w:rsid w:val="00F01396"/>
    <w:rsid w:val="00F0158B"/>
    <w:rsid w:val="00F017A9"/>
    <w:rsid w:val="00F0192B"/>
    <w:rsid w:val="00F01C6E"/>
    <w:rsid w:val="00F020AD"/>
    <w:rsid w:val="00F021D7"/>
    <w:rsid w:val="00F0291B"/>
    <w:rsid w:val="00F037BD"/>
    <w:rsid w:val="00F03CA2"/>
    <w:rsid w:val="00F03EB4"/>
    <w:rsid w:val="00F0415D"/>
    <w:rsid w:val="00F042FA"/>
    <w:rsid w:val="00F048B8"/>
    <w:rsid w:val="00F069BF"/>
    <w:rsid w:val="00F06B22"/>
    <w:rsid w:val="00F06D63"/>
    <w:rsid w:val="00F07478"/>
    <w:rsid w:val="00F0749D"/>
    <w:rsid w:val="00F077BE"/>
    <w:rsid w:val="00F07EA8"/>
    <w:rsid w:val="00F07EC8"/>
    <w:rsid w:val="00F112E4"/>
    <w:rsid w:val="00F11676"/>
    <w:rsid w:val="00F117F4"/>
    <w:rsid w:val="00F11E0F"/>
    <w:rsid w:val="00F12225"/>
    <w:rsid w:val="00F12445"/>
    <w:rsid w:val="00F124E3"/>
    <w:rsid w:val="00F12CE9"/>
    <w:rsid w:val="00F1305B"/>
    <w:rsid w:val="00F13312"/>
    <w:rsid w:val="00F1354F"/>
    <w:rsid w:val="00F143C0"/>
    <w:rsid w:val="00F15268"/>
    <w:rsid w:val="00F1586B"/>
    <w:rsid w:val="00F16982"/>
    <w:rsid w:val="00F17354"/>
    <w:rsid w:val="00F173B3"/>
    <w:rsid w:val="00F17D3A"/>
    <w:rsid w:val="00F20AE6"/>
    <w:rsid w:val="00F21322"/>
    <w:rsid w:val="00F217D2"/>
    <w:rsid w:val="00F2289F"/>
    <w:rsid w:val="00F228A7"/>
    <w:rsid w:val="00F22A4F"/>
    <w:rsid w:val="00F246D0"/>
    <w:rsid w:val="00F26ED8"/>
    <w:rsid w:val="00F30B8D"/>
    <w:rsid w:val="00F311CE"/>
    <w:rsid w:val="00F32814"/>
    <w:rsid w:val="00F3289F"/>
    <w:rsid w:val="00F335B0"/>
    <w:rsid w:val="00F33BB9"/>
    <w:rsid w:val="00F34510"/>
    <w:rsid w:val="00F34B66"/>
    <w:rsid w:val="00F35235"/>
    <w:rsid w:val="00F35508"/>
    <w:rsid w:val="00F35A86"/>
    <w:rsid w:val="00F35EE7"/>
    <w:rsid w:val="00F363DF"/>
    <w:rsid w:val="00F368C8"/>
    <w:rsid w:val="00F36CF3"/>
    <w:rsid w:val="00F404E4"/>
    <w:rsid w:val="00F40896"/>
    <w:rsid w:val="00F40960"/>
    <w:rsid w:val="00F41710"/>
    <w:rsid w:val="00F41B93"/>
    <w:rsid w:val="00F421FB"/>
    <w:rsid w:val="00F42A17"/>
    <w:rsid w:val="00F43558"/>
    <w:rsid w:val="00F4450F"/>
    <w:rsid w:val="00F44F0E"/>
    <w:rsid w:val="00F46014"/>
    <w:rsid w:val="00F46E0B"/>
    <w:rsid w:val="00F472D0"/>
    <w:rsid w:val="00F47441"/>
    <w:rsid w:val="00F4774B"/>
    <w:rsid w:val="00F47ABB"/>
    <w:rsid w:val="00F503A5"/>
    <w:rsid w:val="00F50638"/>
    <w:rsid w:val="00F515C5"/>
    <w:rsid w:val="00F5215F"/>
    <w:rsid w:val="00F53198"/>
    <w:rsid w:val="00F53454"/>
    <w:rsid w:val="00F53734"/>
    <w:rsid w:val="00F53A31"/>
    <w:rsid w:val="00F53C0B"/>
    <w:rsid w:val="00F53D9A"/>
    <w:rsid w:val="00F53E04"/>
    <w:rsid w:val="00F53EF7"/>
    <w:rsid w:val="00F5484E"/>
    <w:rsid w:val="00F54A7D"/>
    <w:rsid w:val="00F57778"/>
    <w:rsid w:val="00F577C5"/>
    <w:rsid w:val="00F600FB"/>
    <w:rsid w:val="00F6051B"/>
    <w:rsid w:val="00F607FD"/>
    <w:rsid w:val="00F60C69"/>
    <w:rsid w:val="00F610F2"/>
    <w:rsid w:val="00F61141"/>
    <w:rsid w:val="00F6126B"/>
    <w:rsid w:val="00F616E8"/>
    <w:rsid w:val="00F62080"/>
    <w:rsid w:val="00F624AB"/>
    <w:rsid w:val="00F6283F"/>
    <w:rsid w:val="00F63E7D"/>
    <w:rsid w:val="00F63EDB"/>
    <w:rsid w:val="00F64B46"/>
    <w:rsid w:val="00F64B72"/>
    <w:rsid w:val="00F64F84"/>
    <w:rsid w:val="00F651D5"/>
    <w:rsid w:val="00F652EA"/>
    <w:rsid w:val="00F655F3"/>
    <w:rsid w:val="00F6565B"/>
    <w:rsid w:val="00F660DF"/>
    <w:rsid w:val="00F663A2"/>
    <w:rsid w:val="00F6693F"/>
    <w:rsid w:val="00F66CC7"/>
    <w:rsid w:val="00F67B62"/>
    <w:rsid w:val="00F704CA"/>
    <w:rsid w:val="00F70DBA"/>
    <w:rsid w:val="00F71313"/>
    <w:rsid w:val="00F719BD"/>
    <w:rsid w:val="00F71EB5"/>
    <w:rsid w:val="00F74C9C"/>
    <w:rsid w:val="00F7564C"/>
    <w:rsid w:val="00F75801"/>
    <w:rsid w:val="00F75B7E"/>
    <w:rsid w:val="00F76131"/>
    <w:rsid w:val="00F76928"/>
    <w:rsid w:val="00F769D6"/>
    <w:rsid w:val="00F76AD4"/>
    <w:rsid w:val="00F773D3"/>
    <w:rsid w:val="00F776CE"/>
    <w:rsid w:val="00F77B1F"/>
    <w:rsid w:val="00F77CAA"/>
    <w:rsid w:val="00F8060C"/>
    <w:rsid w:val="00F808DB"/>
    <w:rsid w:val="00F81401"/>
    <w:rsid w:val="00F82801"/>
    <w:rsid w:val="00F8404E"/>
    <w:rsid w:val="00F843B9"/>
    <w:rsid w:val="00F84911"/>
    <w:rsid w:val="00F85023"/>
    <w:rsid w:val="00F850ED"/>
    <w:rsid w:val="00F85B0C"/>
    <w:rsid w:val="00F85C7B"/>
    <w:rsid w:val="00F86CB0"/>
    <w:rsid w:val="00F8778B"/>
    <w:rsid w:val="00F90828"/>
    <w:rsid w:val="00F90BB9"/>
    <w:rsid w:val="00F911B9"/>
    <w:rsid w:val="00F911D0"/>
    <w:rsid w:val="00F92D96"/>
    <w:rsid w:val="00F92FA0"/>
    <w:rsid w:val="00F93AA9"/>
    <w:rsid w:val="00F94427"/>
    <w:rsid w:val="00F946A9"/>
    <w:rsid w:val="00F94A06"/>
    <w:rsid w:val="00F95112"/>
    <w:rsid w:val="00F9573F"/>
    <w:rsid w:val="00F959CB"/>
    <w:rsid w:val="00F95B84"/>
    <w:rsid w:val="00F963C7"/>
    <w:rsid w:val="00F96E30"/>
    <w:rsid w:val="00F97156"/>
    <w:rsid w:val="00FA058B"/>
    <w:rsid w:val="00FA0A15"/>
    <w:rsid w:val="00FA0A6E"/>
    <w:rsid w:val="00FA113C"/>
    <w:rsid w:val="00FA1AB2"/>
    <w:rsid w:val="00FA2B49"/>
    <w:rsid w:val="00FA2D9D"/>
    <w:rsid w:val="00FA37A0"/>
    <w:rsid w:val="00FA4352"/>
    <w:rsid w:val="00FA529B"/>
    <w:rsid w:val="00FA5EB4"/>
    <w:rsid w:val="00FA60DE"/>
    <w:rsid w:val="00FA63EC"/>
    <w:rsid w:val="00FA6C25"/>
    <w:rsid w:val="00FA6E8D"/>
    <w:rsid w:val="00FA706B"/>
    <w:rsid w:val="00FA7A99"/>
    <w:rsid w:val="00FA7C63"/>
    <w:rsid w:val="00FB06D2"/>
    <w:rsid w:val="00FB100B"/>
    <w:rsid w:val="00FB1A0E"/>
    <w:rsid w:val="00FB1FE0"/>
    <w:rsid w:val="00FB2F91"/>
    <w:rsid w:val="00FB3FD0"/>
    <w:rsid w:val="00FB4DCA"/>
    <w:rsid w:val="00FB58DD"/>
    <w:rsid w:val="00FB5919"/>
    <w:rsid w:val="00FB5E70"/>
    <w:rsid w:val="00FB63D6"/>
    <w:rsid w:val="00FB661D"/>
    <w:rsid w:val="00FB79E7"/>
    <w:rsid w:val="00FC010B"/>
    <w:rsid w:val="00FC13F1"/>
    <w:rsid w:val="00FC26E4"/>
    <w:rsid w:val="00FC32BE"/>
    <w:rsid w:val="00FC33E8"/>
    <w:rsid w:val="00FC3905"/>
    <w:rsid w:val="00FC393C"/>
    <w:rsid w:val="00FC48C2"/>
    <w:rsid w:val="00FC5660"/>
    <w:rsid w:val="00FC65F2"/>
    <w:rsid w:val="00FC6B19"/>
    <w:rsid w:val="00FC7C0F"/>
    <w:rsid w:val="00FD0B46"/>
    <w:rsid w:val="00FD12BF"/>
    <w:rsid w:val="00FD12FB"/>
    <w:rsid w:val="00FD1312"/>
    <w:rsid w:val="00FD1B6B"/>
    <w:rsid w:val="00FD208E"/>
    <w:rsid w:val="00FD22BD"/>
    <w:rsid w:val="00FD2798"/>
    <w:rsid w:val="00FD3749"/>
    <w:rsid w:val="00FD3766"/>
    <w:rsid w:val="00FD3DA6"/>
    <w:rsid w:val="00FD58E4"/>
    <w:rsid w:val="00FD58EC"/>
    <w:rsid w:val="00FD5A78"/>
    <w:rsid w:val="00FD5ADE"/>
    <w:rsid w:val="00FD5C30"/>
    <w:rsid w:val="00FD6584"/>
    <w:rsid w:val="00FD697D"/>
    <w:rsid w:val="00FD760C"/>
    <w:rsid w:val="00FD7A66"/>
    <w:rsid w:val="00FD7C00"/>
    <w:rsid w:val="00FE0202"/>
    <w:rsid w:val="00FE07C8"/>
    <w:rsid w:val="00FE0D7C"/>
    <w:rsid w:val="00FE1E05"/>
    <w:rsid w:val="00FE1ECA"/>
    <w:rsid w:val="00FE2A08"/>
    <w:rsid w:val="00FE2CD8"/>
    <w:rsid w:val="00FE3984"/>
    <w:rsid w:val="00FE4CBF"/>
    <w:rsid w:val="00FE4F58"/>
    <w:rsid w:val="00FE5BAE"/>
    <w:rsid w:val="00FE67A2"/>
    <w:rsid w:val="00FE6E71"/>
    <w:rsid w:val="00FE7E61"/>
    <w:rsid w:val="00FF08FE"/>
    <w:rsid w:val="00FF13AE"/>
    <w:rsid w:val="00FF142F"/>
    <w:rsid w:val="00FF1483"/>
    <w:rsid w:val="00FF17BA"/>
    <w:rsid w:val="00FF18A8"/>
    <w:rsid w:val="00FF1F0E"/>
    <w:rsid w:val="00FF23E8"/>
    <w:rsid w:val="00FF26DD"/>
    <w:rsid w:val="00FF3D4A"/>
    <w:rsid w:val="00FF52A7"/>
    <w:rsid w:val="00FF5386"/>
    <w:rsid w:val="00FF64E6"/>
    <w:rsid w:val="00FF65F6"/>
    <w:rsid w:val="00FF6D9C"/>
    <w:rsid w:val="00FF7E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6170EF"/>
  <w15:docId w15:val="{61D3B8CC-7139-4842-AF65-A1483AB33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046B"/>
    <w:pPr>
      <w:widowControl w:val="0"/>
      <w:adjustRightInd w:val="0"/>
      <w:spacing w:before="120" w:after="120"/>
      <w:textAlignment w:val="baseline"/>
    </w:pPr>
  </w:style>
  <w:style w:type="paragraph" w:styleId="Heading1">
    <w:name w:val="heading 1"/>
    <w:next w:val="BodyText"/>
    <w:link w:val="Heading1Char"/>
    <w:qFormat/>
    <w:rsid w:val="00B34356"/>
    <w:pPr>
      <w:keepNext/>
      <w:keepLines/>
      <w:spacing w:before="240" w:after="240"/>
      <w:outlineLvl w:val="0"/>
    </w:pPr>
    <w:rPr>
      <w:rFonts w:ascii="ITCCentury Book" w:hAnsi="ITCCentury Book" w:cs="Arial"/>
      <w:b/>
      <w:bCs/>
      <w:color w:val="000000"/>
      <w:kern w:val="32"/>
      <w:sz w:val="36"/>
      <w:szCs w:val="36"/>
    </w:rPr>
  </w:style>
  <w:style w:type="paragraph" w:styleId="Heading2">
    <w:name w:val="heading 2"/>
    <w:next w:val="BodyText"/>
    <w:link w:val="Heading2Char"/>
    <w:qFormat/>
    <w:rsid w:val="003A44C9"/>
    <w:pPr>
      <w:keepNext/>
      <w:keepLines/>
      <w:spacing w:before="120" w:after="120"/>
      <w:outlineLvl w:val="1"/>
    </w:pPr>
    <w:rPr>
      <w:rFonts w:ascii="ITCCentury Book" w:hAnsi="ITCCentury Book" w:cs="Arial"/>
      <w:iCs/>
      <w:color w:val="000000"/>
      <w:kern w:val="32"/>
      <w:sz w:val="32"/>
      <w:szCs w:val="36"/>
      <w:u w:val="single"/>
    </w:rPr>
  </w:style>
  <w:style w:type="paragraph" w:styleId="Heading3">
    <w:name w:val="heading 3"/>
    <w:next w:val="BodyText"/>
    <w:link w:val="Heading3Char"/>
    <w:qFormat/>
    <w:rsid w:val="003A44C9"/>
    <w:pPr>
      <w:keepNext/>
      <w:keepLines/>
      <w:spacing w:before="120" w:after="120"/>
      <w:outlineLvl w:val="2"/>
    </w:pPr>
    <w:rPr>
      <w:rFonts w:ascii="ITCCentury Book" w:hAnsi="ITCCentury Book" w:cs="Arial"/>
      <w:b/>
      <w:bCs/>
      <w:iCs/>
      <w:color w:val="000000"/>
      <w:kern w:val="32"/>
      <w:sz w:val="28"/>
      <w:szCs w:val="28"/>
    </w:rPr>
  </w:style>
  <w:style w:type="paragraph" w:styleId="Heading4">
    <w:name w:val="heading 4"/>
    <w:next w:val="BodyText"/>
    <w:link w:val="Heading4Char"/>
    <w:qFormat/>
    <w:rsid w:val="009A0329"/>
    <w:pPr>
      <w:keepNext/>
      <w:keepLines/>
      <w:spacing w:before="120" w:after="120"/>
      <w:outlineLvl w:val="3"/>
    </w:pPr>
    <w:rPr>
      <w:rFonts w:ascii="ITCCentury Book" w:hAnsi="ITCCentury Book" w:cs="Arial"/>
      <w:iCs/>
      <w:color w:val="000000"/>
      <w:kern w:val="32"/>
      <w:sz w:val="24"/>
      <w:szCs w:val="28"/>
      <w:u w:val="single"/>
    </w:rPr>
  </w:style>
  <w:style w:type="paragraph" w:styleId="Heading5">
    <w:name w:val="heading 5"/>
    <w:basedOn w:val="Normal"/>
    <w:next w:val="Normal"/>
    <w:link w:val="Heading5Char"/>
    <w:uiPriority w:val="9"/>
    <w:semiHidden/>
    <w:unhideWhenUsed/>
    <w:qFormat/>
    <w:rsid w:val="00BE274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FD0B46"/>
  </w:style>
  <w:style w:type="character" w:styleId="EndnoteReference">
    <w:name w:val="endnote reference"/>
    <w:basedOn w:val="DefaultParagraphFont"/>
    <w:semiHidden/>
    <w:rsid w:val="00FD0B46"/>
    <w:rPr>
      <w:vertAlign w:val="superscript"/>
    </w:rPr>
  </w:style>
  <w:style w:type="paragraph" w:styleId="FootnoteText">
    <w:name w:val="footnote text"/>
    <w:basedOn w:val="Normal"/>
    <w:link w:val="FootnoteTextChar"/>
    <w:rsid w:val="009F54E3"/>
    <w:pPr>
      <w:keepLines/>
      <w:widowControl/>
    </w:pPr>
    <w:rPr>
      <w:sz w:val="18"/>
    </w:rPr>
  </w:style>
  <w:style w:type="character" w:styleId="FootnoteReference">
    <w:name w:val="footnote reference"/>
    <w:basedOn w:val="DefaultParagraphFont"/>
    <w:rsid w:val="00FD0B46"/>
    <w:rPr>
      <w:vertAlign w:val="superscript"/>
    </w:rPr>
  </w:style>
  <w:style w:type="paragraph" w:customStyle="1" w:styleId="StyleFAMAlpha2">
    <w:name w:val="Style FAM Alpha 2"/>
    <w:basedOn w:val="FAM-Bullet-2"/>
    <w:rsid w:val="00A6329B"/>
    <w:rPr>
      <w:rFonts w:ascii="Arial" w:hAnsi="Arial"/>
      <w:sz w:val="22"/>
    </w:rPr>
  </w:style>
  <w:style w:type="paragraph" w:styleId="TOC1">
    <w:name w:val="toc 1"/>
    <w:basedOn w:val="Normal"/>
    <w:next w:val="Normal"/>
    <w:autoRedefine/>
    <w:semiHidden/>
    <w:rsid w:val="00FD0B46"/>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rsid w:val="00FD0B46"/>
    <w:pPr>
      <w:tabs>
        <w:tab w:val="right" w:leader="dot" w:pos="9360"/>
      </w:tabs>
      <w:suppressAutoHyphens/>
      <w:spacing w:line="240" w:lineRule="atLeast"/>
      <w:ind w:left="1440" w:right="720" w:hanging="720"/>
    </w:pPr>
  </w:style>
  <w:style w:type="paragraph" w:styleId="TOC3">
    <w:name w:val="toc 3"/>
    <w:basedOn w:val="Normal"/>
    <w:next w:val="Normal"/>
    <w:autoRedefine/>
    <w:semiHidden/>
    <w:rsid w:val="00FD0B46"/>
    <w:pPr>
      <w:tabs>
        <w:tab w:val="right" w:leader="dot" w:pos="9360"/>
      </w:tabs>
      <w:suppressAutoHyphens/>
      <w:spacing w:line="240" w:lineRule="atLeast"/>
      <w:ind w:left="2160" w:right="720" w:hanging="720"/>
    </w:pPr>
  </w:style>
  <w:style w:type="paragraph" w:styleId="TOC4">
    <w:name w:val="toc 4"/>
    <w:basedOn w:val="Normal"/>
    <w:next w:val="Normal"/>
    <w:autoRedefine/>
    <w:semiHidden/>
    <w:rsid w:val="00FD0B46"/>
    <w:pPr>
      <w:tabs>
        <w:tab w:val="right" w:leader="dot" w:pos="9360"/>
      </w:tabs>
      <w:suppressAutoHyphens/>
      <w:spacing w:line="240" w:lineRule="atLeast"/>
      <w:ind w:left="2880" w:right="720" w:hanging="720"/>
    </w:pPr>
  </w:style>
  <w:style w:type="paragraph" w:styleId="TOC5">
    <w:name w:val="toc 5"/>
    <w:basedOn w:val="Normal"/>
    <w:next w:val="Normal"/>
    <w:autoRedefine/>
    <w:semiHidden/>
    <w:rsid w:val="00FD0B46"/>
    <w:pPr>
      <w:tabs>
        <w:tab w:val="right" w:leader="dot" w:pos="9360"/>
      </w:tabs>
      <w:suppressAutoHyphens/>
      <w:spacing w:line="240" w:lineRule="atLeast"/>
      <w:ind w:left="3600" w:right="720" w:hanging="720"/>
    </w:pPr>
  </w:style>
  <w:style w:type="paragraph" w:styleId="TOC6">
    <w:name w:val="toc 6"/>
    <w:basedOn w:val="Normal"/>
    <w:next w:val="Normal"/>
    <w:autoRedefine/>
    <w:semiHidden/>
    <w:rsid w:val="00FD0B46"/>
    <w:pPr>
      <w:tabs>
        <w:tab w:val="right" w:pos="9360"/>
      </w:tabs>
      <w:suppressAutoHyphens/>
      <w:spacing w:line="240" w:lineRule="atLeast"/>
      <w:ind w:left="720" w:hanging="720"/>
    </w:pPr>
  </w:style>
  <w:style w:type="paragraph" w:styleId="TOC7">
    <w:name w:val="toc 7"/>
    <w:basedOn w:val="Normal"/>
    <w:next w:val="Normal"/>
    <w:autoRedefine/>
    <w:semiHidden/>
    <w:rsid w:val="00FD0B46"/>
    <w:pPr>
      <w:suppressAutoHyphens/>
      <w:spacing w:line="240" w:lineRule="atLeast"/>
      <w:ind w:left="720" w:hanging="720"/>
    </w:pPr>
  </w:style>
  <w:style w:type="paragraph" w:styleId="TOC8">
    <w:name w:val="toc 8"/>
    <w:basedOn w:val="Normal"/>
    <w:next w:val="Normal"/>
    <w:autoRedefine/>
    <w:semiHidden/>
    <w:rsid w:val="00FD0B46"/>
    <w:pPr>
      <w:tabs>
        <w:tab w:val="right" w:pos="9360"/>
      </w:tabs>
      <w:suppressAutoHyphens/>
      <w:spacing w:line="240" w:lineRule="atLeast"/>
      <w:ind w:left="720" w:hanging="720"/>
    </w:pPr>
  </w:style>
  <w:style w:type="paragraph" w:styleId="TOC9">
    <w:name w:val="toc 9"/>
    <w:basedOn w:val="Normal"/>
    <w:next w:val="Normal"/>
    <w:autoRedefine/>
    <w:semiHidden/>
    <w:rsid w:val="00FD0B46"/>
    <w:pPr>
      <w:tabs>
        <w:tab w:val="right" w:leader="dot" w:pos="9360"/>
      </w:tabs>
      <w:suppressAutoHyphens/>
      <w:spacing w:line="240" w:lineRule="atLeast"/>
      <w:ind w:left="720" w:hanging="720"/>
    </w:pPr>
  </w:style>
  <w:style w:type="paragraph" w:styleId="Index1">
    <w:name w:val="index 1"/>
    <w:basedOn w:val="Normal"/>
    <w:next w:val="Normal"/>
    <w:autoRedefine/>
    <w:semiHidden/>
    <w:rsid w:val="00FD0B46"/>
    <w:pPr>
      <w:tabs>
        <w:tab w:val="right" w:leader="dot" w:pos="9360"/>
      </w:tabs>
      <w:suppressAutoHyphens/>
      <w:spacing w:line="240" w:lineRule="atLeast"/>
      <w:ind w:left="1440" w:right="720" w:hanging="1440"/>
    </w:pPr>
  </w:style>
  <w:style w:type="paragraph" w:styleId="Index2">
    <w:name w:val="index 2"/>
    <w:basedOn w:val="Normal"/>
    <w:next w:val="Normal"/>
    <w:autoRedefine/>
    <w:semiHidden/>
    <w:rsid w:val="00FD0B46"/>
    <w:pPr>
      <w:tabs>
        <w:tab w:val="right" w:leader="dot" w:pos="9360"/>
      </w:tabs>
      <w:suppressAutoHyphens/>
      <w:spacing w:line="240" w:lineRule="atLeast"/>
      <w:ind w:left="1440" w:right="720" w:hanging="720"/>
    </w:pPr>
  </w:style>
  <w:style w:type="paragraph" w:styleId="TOAHeading">
    <w:name w:val="toa heading"/>
    <w:basedOn w:val="Normal"/>
    <w:next w:val="Normal"/>
    <w:semiHidden/>
    <w:rsid w:val="00FD0B46"/>
    <w:pPr>
      <w:tabs>
        <w:tab w:val="right" w:pos="9360"/>
      </w:tabs>
      <w:suppressAutoHyphens/>
      <w:spacing w:line="240" w:lineRule="atLeast"/>
    </w:pPr>
  </w:style>
  <w:style w:type="paragraph" w:styleId="Header">
    <w:name w:val="header"/>
    <w:basedOn w:val="Normal"/>
    <w:rsid w:val="00353A9C"/>
    <w:pPr>
      <w:pBdr>
        <w:top w:val="single" w:sz="18" w:space="1" w:color="auto"/>
        <w:bottom w:val="single" w:sz="18" w:space="1" w:color="auto"/>
      </w:pBdr>
      <w:tabs>
        <w:tab w:val="center" w:pos="4320"/>
        <w:tab w:val="right" w:pos="8640"/>
      </w:tabs>
      <w:contextualSpacing/>
    </w:pPr>
  </w:style>
  <w:style w:type="paragraph" w:styleId="Footer">
    <w:name w:val="footer"/>
    <w:basedOn w:val="Normal"/>
    <w:link w:val="FooterChar"/>
    <w:uiPriority w:val="99"/>
    <w:rsid w:val="00353A9C"/>
    <w:pPr>
      <w:pBdr>
        <w:top w:val="single" w:sz="18" w:space="1" w:color="auto"/>
      </w:pBdr>
      <w:tabs>
        <w:tab w:val="center" w:pos="4320"/>
        <w:tab w:val="right" w:pos="9360"/>
      </w:tabs>
    </w:pPr>
  </w:style>
  <w:style w:type="table" w:styleId="TableGrid">
    <w:name w:val="Table Grid"/>
    <w:basedOn w:val="TableNormal"/>
    <w:uiPriority w:val="59"/>
    <w:rsid w:val="00486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link w:val="BodyTextChar"/>
    <w:qFormat/>
    <w:rsid w:val="00B363A8"/>
    <w:pPr>
      <w:spacing w:after="120"/>
    </w:pPr>
    <w:rPr>
      <w:rFonts w:ascii="ITCCentury Book" w:hAnsi="ITCCentury Book"/>
      <w:color w:val="000000"/>
      <w:sz w:val="24"/>
    </w:rPr>
  </w:style>
  <w:style w:type="character" w:customStyle="1" w:styleId="BodyTextChar">
    <w:name w:val="Body Text Char"/>
    <w:basedOn w:val="DefaultParagraphFont"/>
    <w:link w:val="BodyText"/>
    <w:rsid w:val="00B363A8"/>
    <w:rPr>
      <w:rFonts w:ascii="ITCCentury Book" w:hAnsi="ITCCentury Book"/>
      <w:color w:val="000000"/>
      <w:sz w:val="24"/>
      <w:szCs w:val="24"/>
      <w:lang w:val="en-US" w:eastAsia="en-US" w:bidi="ar-SA"/>
    </w:rPr>
  </w:style>
  <w:style w:type="paragraph" w:styleId="BalloonText">
    <w:name w:val="Balloon Text"/>
    <w:basedOn w:val="Normal"/>
    <w:semiHidden/>
    <w:rsid w:val="00EC625B"/>
    <w:rPr>
      <w:rFonts w:ascii="Tahoma" w:hAnsi="Tahoma" w:cs="Tahoma"/>
      <w:sz w:val="16"/>
      <w:szCs w:val="16"/>
    </w:rPr>
  </w:style>
  <w:style w:type="paragraph" w:customStyle="1" w:styleId="FAM-Subsection">
    <w:name w:val="FAM-Subsection"/>
    <w:link w:val="FAM-SubsectionChar"/>
    <w:rsid w:val="004A102E"/>
    <w:pPr>
      <w:widowControl w:val="0"/>
      <w:numPr>
        <w:numId w:val="1"/>
      </w:numPr>
      <w:adjustRightInd w:val="0"/>
      <w:spacing w:before="120" w:after="120"/>
      <w:textAlignment w:val="baseline"/>
    </w:pPr>
    <w:rPr>
      <w:rFonts w:cs="Arial"/>
      <w:color w:val="000000"/>
    </w:rPr>
  </w:style>
  <w:style w:type="character" w:customStyle="1" w:styleId="FAM-SubsectionChar">
    <w:name w:val="FAM-Subsection Char"/>
    <w:basedOn w:val="BodyTextChar"/>
    <w:link w:val="FAM-Subsection"/>
    <w:rsid w:val="004A102E"/>
    <w:rPr>
      <w:rFonts w:ascii="ITCCentury Book" w:hAnsi="ITCCentury Book" w:cs="Arial"/>
      <w:color w:val="000000"/>
      <w:sz w:val="24"/>
      <w:szCs w:val="24"/>
      <w:lang w:val="en-US" w:eastAsia="en-US" w:bidi="ar-SA"/>
    </w:rPr>
  </w:style>
  <w:style w:type="paragraph" w:customStyle="1" w:styleId="FAM-Bullet-1">
    <w:name w:val="FAM-Bullet-1"/>
    <w:link w:val="FAM-Bullet-1Char"/>
    <w:rsid w:val="008B734E"/>
    <w:pPr>
      <w:widowControl w:val="0"/>
      <w:adjustRightInd w:val="0"/>
      <w:spacing w:after="120"/>
      <w:textAlignment w:val="baseline"/>
    </w:pPr>
    <w:rPr>
      <w:rFonts w:cs="Arial"/>
      <w:color w:val="000000"/>
    </w:rPr>
  </w:style>
  <w:style w:type="character" w:customStyle="1" w:styleId="Heading2Char">
    <w:name w:val="Heading 2 Char"/>
    <w:basedOn w:val="DefaultParagraphFont"/>
    <w:link w:val="Heading2"/>
    <w:rsid w:val="003A44C9"/>
    <w:rPr>
      <w:rFonts w:ascii="ITCCentury Book" w:hAnsi="ITCCentury Book" w:cs="Arial"/>
      <w:iCs/>
      <w:color w:val="000000"/>
      <w:kern w:val="32"/>
      <w:sz w:val="32"/>
      <w:szCs w:val="36"/>
      <w:u w:val="single"/>
    </w:rPr>
  </w:style>
  <w:style w:type="character" w:customStyle="1" w:styleId="Heading3Char">
    <w:name w:val="Heading 3 Char"/>
    <w:basedOn w:val="DefaultParagraphFont"/>
    <w:link w:val="Heading3"/>
    <w:rsid w:val="003A44C9"/>
    <w:rPr>
      <w:rFonts w:ascii="ITCCentury Book" w:hAnsi="ITCCentury Book" w:cs="Arial"/>
      <w:b/>
      <w:bCs/>
      <w:iCs/>
      <w:color w:val="000000"/>
      <w:kern w:val="32"/>
      <w:sz w:val="28"/>
      <w:szCs w:val="28"/>
    </w:rPr>
  </w:style>
  <w:style w:type="character" w:customStyle="1" w:styleId="Heading4Char">
    <w:name w:val="Heading 4 Char"/>
    <w:basedOn w:val="DefaultParagraphFont"/>
    <w:link w:val="Heading4"/>
    <w:rsid w:val="009A0329"/>
    <w:rPr>
      <w:rFonts w:ascii="ITCCentury Book" w:hAnsi="ITCCentury Book" w:cs="Arial"/>
      <w:iCs/>
      <w:color w:val="000000"/>
      <w:kern w:val="32"/>
      <w:sz w:val="24"/>
      <w:szCs w:val="28"/>
      <w:u w:val="single"/>
    </w:rPr>
  </w:style>
  <w:style w:type="character" w:styleId="Hyperlink">
    <w:name w:val="Hyperlink"/>
    <w:basedOn w:val="DefaultParagraphFont"/>
    <w:semiHidden/>
    <w:rsid w:val="009A0329"/>
    <w:rPr>
      <w:color w:val="0000FF"/>
      <w:u w:val="single"/>
    </w:rPr>
  </w:style>
  <w:style w:type="paragraph" w:customStyle="1" w:styleId="FAM-Table-Bullet">
    <w:name w:val="FAM-Table-Bullet"/>
    <w:rsid w:val="009A0329"/>
    <w:pPr>
      <w:numPr>
        <w:numId w:val="4"/>
      </w:numPr>
    </w:pPr>
    <w:rPr>
      <w:rFonts w:ascii="ITCCentury Book" w:hAnsi="ITCCentury Book"/>
      <w:color w:val="000000"/>
      <w:sz w:val="24"/>
    </w:rPr>
  </w:style>
  <w:style w:type="paragraph" w:customStyle="1" w:styleId="Table-Cell-Center">
    <w:name w:val="Table-Cell-Center"/>
    <w:basedOn w:val="Normal"/>
    <w:rsid w:val="009F54E3"/>
    <w:pPr>
      <w:widowControl/>
      <w:adjustRightInd/>
      <w:jc w:val="center"/>
    </w:pPr>
  </w:style>
  <w:style w:type="paragraph" w:customStyle="1" w:styleId="Table-Head-Center">
    <w:name w:val="Table-Head-Center"/>
    <w:basedOn w:val="Normal"/>
    <w:rsid w:val="005175F8"/>
    <w:pPr>
      <w:keepNext/>
      <w:widowControl/>
      <w:adjustRightInd/>
      <w:jc w:val="center"/>
    </w:pPr>
    <w:rPr>
      <w:b/>
      <w:bCs/>
    </w:rPr>
  </w:style>
  <w:style w:type="paragraph" w:customStyle="1" w:styleId="FAM-alpha-1">
    <w:name w:val="FAM-alpha-1"/>
    <w:rsid w:val="00C80404"/>
    <w:pPr>
      <w:numPr>
        <w:numId w:val="7"/>
      </w:numPr>
      <w:spacing w:after="120"/>
    </w:pPr>
    <w:rPr>
      <w:rFonts w:ascii="ITCCentury Book" w:hAnsi="ITCCentury Book"/>
      <w:color w:val="000000"/>
      <w:sz w:val="24"/>
    </w:rPr>
  </w:style>
  <w:style w:type="paragraph" w:styleId="BodyTextIndent">
    <w:name w:val="Body Text Indent"/>
    <w:basedOn w:val="BodyText"/>
    <w:link w:val="BodyTextIndentChar"/>
    <w:semiHidden/>
    <w:rsid w:val="008104EC"/>
    <w:pPr>
      <w:ind w:left="360"/>
    </w:pPr>
  </w:style>
  <w:style w:type="character" w:customStyle="1" w:styleId="BodyTextIndentChar">
    <w:name w:val="Body Text Indent Char"/>
    <w:basedOn w:val="DefaultParagraphFont"/>
    <w:link w:val="BodyTextIndent"/>
    <w:semiHidden/>
    <w:rsid w:val="008104EC"/>
    <w:rPr>
      <w:rFonts w:ascii="ITCCentury Book" w:hAnsi="ITCCentury Book"/>
      <w:color w:val="000000"/>
      <w:sz w:val="24"/>
      <w:szCs w:val="24"/>
    </w:rPr>
  </w:style>
  <w:style w:type="character" w:customStyle="1" w:styleId="FAM-Bullet-1Char">
    <w:name w:val="FAM-Bullet-1 Char"/>
    <w:basedOn w:val="DefaultParagraphFont"/>
    <w:link w:val="FAM-Bullet-1"/>
    <w:rsid w:val="008B734E"/>
    <w:rPr>
      <w:rFonts w:cs="Arial"/>
      <w:color w:val="000000"/>
    </w:rPr>
  </w:style>
  <w:style w:type="paragraph" w:customStyle="1" w:styleId="FAM-Bullet-2">
    <w:name w:val="FAM-Bullet-2"/>
    <w:link w:val="FAM-Bullet-2Char"/>
    <w:rsid w:val="00BE5466"/>
    <w:pPr>
      <w:numPr>
        <w:numId w:val="9"/>
      </w:numPr>
      <w:spacing w:after="120"/>
    </w:pPr>
    <w:rPr>
      <w:rFonts w:ascii="ITCCentury Book" w:hAnsi="ITCCentury Book"/>
      <w:color w:val="000000"/>
      <w:sz w:val="24"/>
    </w:rPr>
  </w:style>
  <w:style w:type="paragraph" w:customStyle="1" w:styleId="FAM-Bullet-3">
    <w:name w:val="FAM-Bullet-3"/>
    <w:link w:val="FAM-Bullet-3Char"/>
    <w:rsid w:val="00BE5466"/>
    <w:pPr>
      <w:numPr>
        <w:numId w:val="10"/>
      </w:numPr>
      <w:spacing w:after="120"/>
    </w:pPr>
    <w:rPr>
      <w:rFonts w:ascii="ITCCentury Book" w:hAnsi="ITCCentury Book"/>
      <w:color w:val="000000"/>
      <w:sz w:val="24"/>
    </w:rPr>
  </w:style>
  <w:style w:type="paragraph" w:customStyle="1" w:styleId="FAM-Bullet-4">
    <w:name w:val="FAM-Bullet-4"/>
    <w:link w:val="FAM-Bullet-4Char"/>
    <w:rsid w:val="00BE5466"/>
    <w:pPr>
      <w:numPr>
        <w:numId w:val="11"/>
      </w:numPr>
      <w:spacing w:after="120"/>
    </w:pPr>
    <w:rPr>
      <w:rFonts w:ascii="ITCCentury Book" w:hAnsi="ITCCentury Book"/>
      <w:color w:val="000000"/>
      <w:sz w:val="24"/>
    </w:rPr>
  </w:style>
  <w:style w:type="character" w:customStyle="1" w:styleId="FAM-Bullet-4Char">
    <w:name w:val="FAM-Bullet-4 Char"/>
    <w:basedOn w:val="DefaultParagraphFont"/>
    <w:link w:val="FAM-Bullet-4"/>
    <w:rsid w:val="00BE5466"/>
    <w:rPr>
      <w:rFonts w:ascii="ITCCentury Book" w:hAnsi="ITCCentury Book"/>
      <w:color w:val="000000"/>
      <w:sz w:val="24"/>
    </w:rPr>
  </w:style>
  <w:style w:type="character" w:customStyle="1" w:styleId="FAM-Bullet-3Char">
    <w:name w:val="FAM-Bullet-3 Char"/>
    <w:basedOn w:val="DefaultParagraphFont"/>
    <w:link w:val="FAM-Bullet-3"/>
    <w:rsid w:val="00BE5466"/>
    <w:rPr>
      <w:rFonts w:ascii="ITCCentury Book" w:hAnsi="ITCCentury Book"/>
      <w:color w:val="000000"/>
      <w:sz w:val="24"/>
    </w:rPr>
  </w:style>
  <w:style w:type="paragraph" w:customStyle="1" w:styleId="Table-Head-Left">
    <w:name w:val="Table-Head-Left"/>
    <w:basedOn w:val="Normal"/>
    <w:rsid w:val="00794959"/>
    <w:pPr>
      <w:keepNext/>
      <w:widowControl/>
      <w:adjustRightInd/>
    </w:pPr>
    <w:rPr>
      <w:b/>
    </w:rPr>
  </w:style>
  <w:style w:type="paragraph" w:customStyle="1" w:styleId="Table-Cell-Left">
    <w:name w:val="Table-Cell-Left"/>
    <w:basedOn w:val="Normal"/>
    <w:rsid w:val="00792A77"/>
    <w:pPr>
      <w:widowControl/>
      <w:adjustRightInd/>
    </w:pPr>
    <w:rPr>
      <w:rFonts w:ascii="ITCCentury Book" w:hAnsi="ITCCentury Book"/>
    </w:rPr>
  </w:style>
  <w:style w:type="numbering" w:customStyle="1" w:styleId="Style1">
    <w:name w:val="Style1"/>
    <w:rsid w:val="00792A77"/>
    <w:pPr>
      <w:numPr>
        <w:numId w:val="13"/>
      </w:numPr>
    </w:pPr>
  </w:style>
  <w:style w:type="character" w:customStyle="1" w:styleId="Heading1Char">
    <w:name w:val="Heading 1 Char"/>
    <w:basedOn w:val="DefaultParagraphFont"/>
    <w:link w:val="Heading1"/>
    <w:rsid w:val="00B34356"/>
    <w:rPr>
      <w:rFonts w:ascii="ITCCentury Book" w:hAnsi="ITCCentury Book" w:cs="Arial"/>
      <w:b/>
      <w:bCs/>
      <w:color w:val="000000"/>
      <w:kern w:val="32"/>
      <w:sz w:val="36"/>
      <w:szCs w:val="36"/>
    </w:rPr>
  </w:style>
  <w:style w:type="paragraph" w:customStyle="1" w:styleId="FAM-Cont-1">
    <w:name w:val="FAM-Cont-1"/>
    <w:rsid w:val="009075CD"/>
    <w:pPr>
      <w:spacing w:after="120"/>
      <w:ind w:left="1800"/>
    </w:pPr>
    <w:rPr>
      <w:rFonts w:ascii="ITCCentury Book" w:hAnsi="ITCCentury Book"/>
      <w:color w:val="000000"/>
      <w:sz w:val="24"/>
    </w:rPr>
  </w:style>
  <w:style w:type="paragraph" w:customStyle="1" w:styleId="StyleFAM-Bullet-2Bold">
    <w:name w:val="Style FAM-Bullet-2 + Bold"/>
    <w:basedOn w:val="FAM-Bullet-2"/>
    <w:link w:val="StyleFAM-Bullet-2BoldChar"/>
    <w:rsid w:val="00BC44BB"/>
    <w:pPr>
      <w:numPr>
        <w:numId w:val="0"/>
      </w:numPr>
      <w:tabs>
        <w:tab w:val="num" w:pos="1440"/>
      </w:tabs>
      <w:ind w:left="1440" w:hanging="720"/>
    </w:pPr>
    <w:rPr>
      <w:b/>
      <w:bCs/>
    </w:rPr>
  </w:style>
  <w:style w:type="character" w:customStyle="1" w:styleId="FAM-Bullet-2Char">
    <w:name w:val="FAM-Bullet-2 Char"/>
    <w:basedOn w:val="DefaultParagraphFont"/>
    <w:link w:val="FAM-Bullet-2"/>
    <w:rsid w:val="00BC44BB"/>
    <w:rPr>
      <w:rFonts w:ascii="ITCCentury Book" w:hAnsi="ITCCentury Book"/>
      <w:color w:val="000000"/>
      <w:sz w:val="24"/>
    </w:rPr>
  </w:style>
  <w:style w:type="character" w:customStyle="1" w:styleId="StyleFAM-Bullet-2BoldChar">
    <w:name w:val="Style FAM-Bullet-2 + Bold Char"/>
    <w:basedOn w:val="FAM-Bullet-2Char"/>
    <w:link w:val="StyleFAM-Bullet-2Bold"/>
    <w:rsid w:val="00BC44BB"/>
    <w:rPr>
      <w:rFonts w:ascii="ITCCentury Book" w:hAnsi="ITCCentury Book"/>
      <w:b/>
      <w:bCs/>
      <w:color w:val="000000"/>
      <w:sz w:val="24"/>
      <w:szCs w:val="24"/>
    </w:rPr>
  </w:style>
  <w:style w:type="paragraph" w:styleId="BodyTextIndent2">
    <w:name w:val="Body Text Indent 2"/>
    <w:basedOn w:val="BodyText"/>
    <w:link w:val="BodyTextIndent2Char"/>
    <w:semiHidden/>
    <w:rsid w:val="00286BE9"/>
    <w:pPr>
      <w:ind w:left="720"/>
    </w:pPr>
  </w:style>
  <w:style w:type="character" w:customStyle="1" w:styleId="BodyTextIndent2Char">
    <w:name w:val="Body Text Indent 2 Char"/>
    <w:basedOn w:val="DefaultParagraphFont"/>
    <w:link w:val="BodyTextIndent2"/>
    <w:semiHidden/>
    <w:rsid w:val="00286BE9"/>
    <w:rPr>
      <w:rFonts w:ascii="ITCCentury Book" w:hAnsi="ITCCentury Book"/>
      <w:color w:val="000000"/>
      <w:sz w:val="24"/>
      <w:szCs w:val="24"/>
    </w:rPr>
  </w:style>
  <w:style w:type="paragraph" w:customStyle="1" w:styleId="FAM-Num-1">
    <w:name w:val="FAM-Num-1"/>
    <w:rsid w:val="001E0A70"/>
    <w:pPr>
      <w:spacing w:after="120"/>
    </w:pPr>
    <w:rPr>
      <w:rFonts w:ascii="ITCCentury Book" w:hAnsi="ITCCentury Book"/>
      <w:bCs/>
      <w:color w:val="000000"/>
      <w:sz w:val="24"/>
    </w:rPr>
  </w:style>
  <w:style w:type="paragraph" w:customStyle="1" w:styleId="Footer-landscape-legal">
    <w:name w:val="Footer-landscape-legal"/>
    <w:basedOn w:val="Footer"/>
    <w:rsid w:val="0011571E"/>
    <w:pPr>
      <w:widowControl/>
      <w:tabs>
        <w:tab w:val="clear" w:pos="4320"/>
        <w:tab w:val="clear" w:pos="9360"/>
        <w:tab w:val="center" w:pos="9000"/>
        <w:tab w:val="right" w:pos="17370"/>
      </w:tabs>
      <w:adjustRightInd/>
    </w:pPr>
    <w:rPr>
      <w:lang w:val="pt-BR"/>
    </w:rPr>
  </w:style>
  <w:style w:type="paragraph" w:styleId="ListParagraph">
    <w:name w:val="List Paragraph"/>
    <w:basedOn w:val="Normal"/>
    <w:uiPriority w:val="34"/>
    <w:qFormat/>
    <w:rsid w:val="002D1226"/>
    <w:pPr>
      <w:ind w:left="720"/>
      <w:contextualSpacing/>
    </w:pPr>
  </w:style>
  <w:style w:type="character" w:styleId="CommentReference">
    <w:name w:val="annotation reference"/>
    <w:basedOn w:val="DefaultParagraphFont"/>
    <w:uiPriority w:val="99"/>
    <w:semiHidden/>
    <w:unhideWhenUsed/>
    <w:rsid w:val="00555B46"/>
    <w:rPr>
      <w:sz w:val="16"/>
      <w:szCs w:val="16"/>
    </w:rPr>
  </w:style>
  <w:style w:type="paragraph" w:styleId="CommentText">
    <w:name w:val="annotation text"/>
    <w:basedOn w:val="Normal"/>
    <w:link w:val="CommentTextChar"/>
    <w:uiPriority w:val="99"/>
    <w:unhideWhenUsed/>
    <w:rsid w:val="00555B46"/>
    <w:rPr>
      <w:sz w:val="20"/>
      <w:szCs w:val="20"/>
    </w:rPr>
  </w:style>
  <w:style w:type="character" w:customStyle="1" w:styleId="CommentTextChar">
    <w:name w:val="Comment Text Char"/>
    <w:basedOn w:val="DefaultParagraphFont"/>
    <w:link w:val="CommentText"/>
    <w:uiPriority w:val="99"/>
    <w:rsid w:val="00555B46"/>
    <w:rPr>
      <w:rFonts w:ascii="NewCenturySchlbk" w:hAnsi="NewCenturySchlbk"/>
    </w:rPr>
  </w:style>
  <w:style w:type="paragraph" w:styleId="CommentSubject">
    <w:name w:val="annotation subject"/>
    <w:basedOn w:val="CommentText"/>
    <w:next w:val="CommentText"/>
    <w:link w:val="CommentSubjectChar"/>
    <w:uiPriority w:val="99"/>
    <w:semiHidden/>
    <w:unhideWhenUsed/>
    <w:rsid w:val="00555B46"/>
    <w:rPr>
      <w:b/>
      <w:bCs/>
    </w:rPr>
  </w:style>
  <w:style w:type="character" w:customStyle="1" w:styleId="CommentSubjectChar">
    <w:name w:val="Comment Subject Char"/>
    <w:basedOn w:val="CommentTextChar"/>
    <w:link w:val="CommentSubject"/>
    <w:uiPriority w:val="99"/>
    <w:semiHidden/>
    <w:rsid w:val="00555B46"/>
    <w:rPr>
      <w:rFonts w:ascii="NewCenturySchlbk" w:hAnsi="NewCenturySchlbk"/>
      <w:b/>
      <w:bCs/>
    </w:rPr>
  </w:style>
  <w:style w:type="character" w:customStyle="1" w:styleId="StyleArialBold">
    <w:name w:val="Style Arial Bold"/>
    <w:basedOn w:val="DefaultParagraphFont"/>
    <w:rsid w:val="00D35B84"/>
    <w:rPr>
      <w:rFonts w:ascii="Arial" w:hAnsi="Arial"/>
      <w:b/>
      <w:bCs/>
    </w:rPr>
  </w:style>
  <w:style w:type="character" w:customStyle="1" w:styleId="StyleArial10pt">
    <w:name w:val="Style Arial 10 pt"/>
    <w:basedOn w:val="DefaultParagraphFont"/>
    <w:rsid w:val="00D35B84"/>
    <w:rPr>
      <w:rFonts w:ascii="Arial" w:hAnsi="Arial"/>
      <w:sz w:val="20"/>
    </w:rPr>
  </w:style>
  <w:style w:type="character" w:customStyle="1" w:styleId="StyleArial10ptItalic">
    <w:name w:val="Style Arial 10 pt Italic"/>
    <w:basedOn w:val="DefaultParagraphFont"/>
    <w:rsid w:val="00D35B84"/>
    <w:rPr>
      <w:rFonts w:ascii="Arial" w:hAnsi="Arial"/>
      <w:i/>
      <w:iCs/>
      <w:sz w:val="20"/>
    </w:rPr>
  </w:style>
  <w:style w:type="paragraph" w:customStyle="1" w:styleId="Style">
    <w:name w:val="Style"/>
    <w:basedOn w:val="ListParagraph"/>
    <w:rsid w:val="00D35B84"/>
    <w:pPr>
      <w:ind w:firstLine="360"/>
    </w:pPr>
    <w:rPr>
      <w:sz w:val="20"/>
      <w:szCs w:val="20"/>
    </w:rPr>
  </w:style>
  <w:style w:type="paragraph" w:customStyle="1" w:styleId="StyleArialLinespacingAtleast12pt">
    <w:name w:val="Style Arial Line spacing:  At least 12 pt"/>
    <w:basedOn w:val="Normal"/>
    <w:rsid w:val="00C117E8"/>
    <w:pPr>
      <w:spacing w:line="240" w:lineRule="atLeast"/>
    </w:pPr>
    <w:rPr>
      <w:szCs w:val="20"/>
    </w:rPr>
  </w:style>
  <w:style w:type="paragraph" w:customStyle="1" w:styleId="SectionSubtitle">
    <w:name w:val="Section Subtitle"/>
    <w:basedOn w:val="Normal"/>
    <w:rsid w:val="00F363DF"/>
    <w:pPr>
      <w:spacing w:before="0" w:after="0" w:line="240" w:lineRule="atLeast"/>
      <w:jc w:val="right"/>
    </w:pPr>
    <w:rPr>
      <w:sz w:val="48"/>
      <w:szCs w:val="20"/>
    </w:rPr>
  </w:style>
  <w:style w:type="paragraph" w:styleId="Revision">
    <w:name w:val="Revision"/>
    <w:hidden/>
    <w:uiPriority w:val="99"/>
    <w:semiHidden/>
    <w:rsid w:val="007E0B4F"/>
    <w:rPr>
      <w:rFonts w:ascii="NewCenturySchlbk" w:hAnsi="NewCenturySchlbk"/>
      <w:sz w:val="24"/>
    </w:rPr>
  </w:style>
  <w:style w:type="character" w:customStyle="1" w:styleId="FooterChar">
    <w:name w:val="Footer Char"/>
    <w:basedOn w:val="DefaultParagraphFont"/>
    <w:link w:val="Footer"/>
    <w:uiPriority w:val="99"/>
    <w:rsid w:val="00353A9C"/>
    <w:rPr>
      <w:rFonts w:cs="Arial"/>
      <w:color w:val="000000"/>
      <w:szCs w:val="22"/>
    </w:rPr>
  </w:style>
  <w:style w:type="character" w:customStyle="1" w:styleId="FootnoteTextChar">
    <w:name w:val="Footnote Text Char"/>
    <w:basedOn w:val="DefaultParagraphFont"/>
    <w:link w:val="FootnoteText"/>
    <w:rsid w:val="009F54E3"/>
    <w:rPr>
      <w:rFonts w:cs="Arial"/>
      <w:color w:val="000000"/>
      <w:sz w:val="18"/>
      <w:szCs w:val="22"/>
    </w:rPr>
  </w:style>
  <w:style w:type="paragraph" w:customStyle="1" w:styleId="FAMSubsection">
    <w:name w:val="FAM Subsection"/>
    <w:basedOn w:val="FAM-Subsection"/>
    <w:link w:val="FAMSubsectionChar"/>
    <w:qFormat/>
    <w:rsid w:val="00BE2742"/>
    <w:pPr>
      <w:widowControl/>
    </w:pPr>
    <w:rPr>
      <w:szCs w:val="20"/>
    </w:rPr>
  </w:style>
  <w:style w:type="paragraph" w:customStyle="1" w:styleId="FAM-Continuation1">
    <w:name w:val="FAM-Continuation 1"/>
    <w:basedOn w:val="FAM-Subsection"/>
    <w:rsid w:val="008B734E"/>
    <w:pPr>
      <w:numPr>
        <w:numId w:val="0"/>
      </w:numPr>
      <w:ind w:left="1440"/>
    </w:pPr>
    <w:rPr>
      <w:szCs w:val="20"/>
    </w:rPr>
  </w:style>
  <w:style w:type="paragraph" w:customStyle="1" w:styleId="Heading2FAM">
    <w:name w:val="Heading 2 FAM"/>
    <w:basedOn w:val="Heading2"/>
    <w:next w:val="FAM-Subsection"/>
    <w:rsid w:val="005D314F"/>
    <w:pPr>
      <w:spacing w:before="240" w:after="240"/>
    </w:pPr>
    <w:rPr>
      <w:rFonts w:ascii="Arial" w:hAnsi="Arial" w:cs="Times New Roman"/>
      <w:b/>
      <w:bCs/>
      <w:iCs w:val="0"/>
      <w:szCs w:val="20"/>
    </w:rPr>
  </w:style>
  <w:style w:type="paragraph" w:customStyle="1" w:styleId="FAMContinuation2">
    <w:name w:val="FAM Continuation 2"/>
    <w:basedOn w:val="FAM-Continuation1"/>
    <w:qFormat/>
    <w:rsid w:val="004A102E"/>
    <w:pPr>
      <w:ind w:left="1800"/>
    </w:pPr>
  </w:style>
  <w:style w:type="paragraph" w:customStyle="1" w:styleId="FAMContinuation3">
    <w:name w:val="FAM Continuation 3"/>
    <w:basedOn w:val="FAMContinuation2"/>
    <w:qFormat/>
    <w:rsid w:val="008B6636"/>
    <w:pPr>
      <w:ind w:left="2160"/>
    </w:pPr>
  </w:style>
  <w:style w:type="paragraph" w:customStyle="1" w:styleId="FAMContinuation4">
    <w:name w:val="FAM Continuation 4"/>
    <w:basedOn w:val="FAMContinuation3"/>
    <w:qFormat/>
    <w:rsid w:val="008B6636"/>
    <w:pPr>
      <w:ind w:left="2520"/>
    </w:pPr>
  </w:style>
  <w:style w:type="paragraph" w:customStyle="1" w:styleId="StyleBodyText-Cont-FAMArial11ptBold">
    <w:name w:val="Style Body Text-Cont-FAM + Arial 11 pt Bold"/>
    <w:basedOn w:val="Normal"/>
    <w:rsid w:val="0053611F"/>
    <w:pPr>
      <w:keepNext/>
      <w:widowControl/>
      <w:adjustRightInd/>
      <w:ind w:left="1440"/>
      <w:textAlignment w:val="auto"/>
    </w:pPr>
    <w:rPr>
      <w:rFonts w:cs="ITCCentury Book"/>
      <w:b/>
      <w:bCs/>
      <w:szCs w:val="24"/>
    </w:rPr>
  </w:style>
  <w:style w:type="paragraph" w:customStyle="1" w:styleId="SectionTitle">
    <w:name w:val="Section Title"/>
    <w:basedOn w:val="Normal"/>
    <w:qFormat/>
    <w:rsid w:val="00F363DF"/>
    <w:pPr>
      <w:spacing w:before="0" w:after="0"/>
      <w:jc w:val="right"/>
    </w:pPr>
    <w:rPr>
      <w:sz w:val="60"/>
      <w:szCs w:val="60"/>
    </w:rPr>
  </w:style>
  <w:style w:type="paragraph" w:customStyle="1" w:styleId="StyleFAM-Table-NumListArial11pt">
    <w:name w:val="Style FAM-Table-NumList + Arial 11 pt"/>
    <w:basedOn w:val="Normal"/>
    <w:rsid w:val="00C572E6"/>
    <w:pPr>
      <w:widowControl/>
      <w:numPr>
        <w:numId w:val="12"/>
      </w:numPr>
      <w:adjustRightInd/>
      <w:spacing w:before="60" w:after="60"/>
      <w:textAlignment w:val="auto"/>
    </w:pPr>
    <w:rPr>
      <w:szCs w:val="24"/>
    </w:rPr>
  </w:style>
  <w:style w:type="paragraph" w:customStyle="1" w:styleId="TableHanging">
    <w:name w:val="Table Hanging"/>
    <w:basedOn w:val="Normal"/>
    <w:qFormat/>
    <w:rsid w:val="00794959"/>
    <w:pPr>
      <w:tabs>
        <w:tab w:val="left" w:pos="491"/>
      </w:tabs>
      <w:ind w:left="491" w:hanging="491"/>
    </w:pPr>
  </w:style>
  <w:style w:type="paragraph" w:customStyle="1" w:styleId="FAMBullet2">
    <w:name w:val="FAM Bullet 2"/>
    <w:basedOn w:val="FAM-Bullet-1"/>
    <w:qFormat/>
    <w:rsid w:val="003E49DB"/>
    <w:pPr>
      <w:numPr>
        <w:ilvl w:val="2"/>
        <w:numId w:val="3"/>
      </w:numPr>
    </w:pPr>
  </w:style>
  <w:style w:type="paragraph" w:customStyle="1" w:styleId="FAMroman1">
    <w:name w:val="FAM roman 1"/>
    <w:basedOn w:val="FAM-Subsection"/>
    <w:qFormat/>
    <w:rsid w:val="00BD6A75"/>
    <w:pPr>
      <w:numPr>
        <w:numId w:val="27"/>
      </w:numPr>
      <w:tabs>
        <w:tab w:val="clear" w:pos="1440"/>
        <w:tab w:val="num" w:pos="2160"/>
      </w:tabs>
      <w:ind w:left="2160" w:hanging="180"/>
    </w:pPr>
    <w:rPr>
      <w:b/>
    </w:rPr>
  </w:style>
  <w:style w:type="paragraph" w:customStyle="1" w:styleId="FAMHeading4">
    <w:name w:val="FAM Heading 4"/>
    <w:basedOn w:val="Heading5"/>
    <w:next w:val="FAMSubsection"/>
    <w:qFormat/>
    <w:rsid w:val="004E3BDA"/>
    <w:pPr>
      <w:widowControl/>
      <w:spacing w:before="180" w:after="180"/>
      <w:ind w:left="720"/>
    </w:pPr>
    <w:rPr>
      <w:rFonts w:ascii="Arial" w:hAnsi="Arial"/>
      <w:b/>
      <w:color w:val="auto"/>
      <w:sz w:val="28"/>
      <w:szCs w:val="24"/>
      <w:u w:val="single"/>
    </w:rPr>
  </w:style>
  <w:style w:type="paragraph" w:customStyle="1" w:styleId="FAMhangingindent">
    <w:name w:val="FAM hanging indent"/>
    <w:basedOn w:val="FAM-Bullet-1"/>
    <w:qFormat/>
    <w:rsid w:val="003A36B2"/>
    <w:pPr>
      <w:tabs>
        <w:tab w:val="left" w:pos="1800"/>
      </w:tabs>
      <w:ind w:left="1800" w:hanging="360"/>
    </w:pPr>
  </w:style>
  <w:style w:type="character" w:customStyle="1" w:styleId="Heading5Char">
    <w:name w:val="Heading 5 Char"/>
    <w:basedOn w:val="DefaultParagraphFont"/>
    <w:link w:val="Heading5"/>
    <w:uiPriority w:val="9"/>
    <w:semiHidden/>
    <w:rsid w:val="00BE2742"/>
    <w:rPr>
      <w:rFonts w:asciiTheme="majorHAnsi" w:eastAsiaTheme="majorEastAsia" w:hAnsiTheme="majorHAnsi" w:cstheme="majorBidi"/>
      <w:color w:val="243F60" w:themeColor="accent1" w:themeShade="7F"/>
      <w:szCs w:val="22"/>
    </w:rPr>
  </w:style>
  <w:style w:type="paragraph" w:customStyle="1" w:styleId="FAMhangingindent2">
    <w:name w:val="FAM hanging indent 2"/>
    <w:basedOn w:val="FAMhangingindent"/>
    <w:qFormat/>
    <w:rsid w:val="000E1ED2"/>
    <w:pPr>
      <w:ind w:left="2160"/>
    </w:pPr>
  </w:style>
  <w:style w:type="paragraph" w:customStyle="1" w:styleId="FAMroman3">
    <w:name w:val="FAM roman 3"/>
    <w:qFormat/>
    <w:rsid w:val="009B25DA"/>
    <w:pPr>
      <w:numPr>
        <w:ilvl w:val="2"/>
        <w:numId w:val="8"/>
      </w:numPr>
      <w:spacing w:before="120" w:after="120"/>
    </w:pPr>
    <w:rPr>
      <w:rFonts w:cs="Arial"/>
      <w:color w:val="000000"/>
    </w:rPr>
  </w:style>
  <w:style w:type="paragraph" w:customStyle="1" w:styleId="FAMTableHangingindent">
    <w:name w:val="FAM Table Hanging indent"/>
    <w:basedOn w:val="Normal"/>
    <w:qFormat/>
    <w:rsid w:val="0011571E"/>
    <w:pPr>
      <w:tabs>
        <w:tab w:val="left" w:pos="284"/>
      </w:tabs>
      <w:ind w:left="284" w:hanging="284"/>
    </w:pPr>
    <w:rPr>
      <w:sz w:val="18"/>
      <w:szCs w:val="18"/>
    </w:rPr>
  </w:style>
  <w:style w:type="paragraph" w:customStyle="1" w:styleId="FAMTableHangingindent2">
    <w:name w:val="FAM Table Hanging indent 2"/>
    <w:basedOn w:val="FAMTableHangingindent"/>
    <w:qFormat/>
    <w:rsid w:val="0011571E"/>
    <w:pPr>
      <w:tabs>
        <w:tab w:val="clear" w:pos="284"/>
        <w:tab w:val="left" w:pos="432"/>
      </w:tabs>
      <w:ind w:left="432" w:hanging="432"/>
    </w:pPr>
  </w:style>
  <w:style w:type="paragraph" w:customStyle="1" w:styleId="StyleBodyTextArial9ptItalic">
    <w:name w:val="Style Body Text + Arial 9 pt Italic"/>
    <w:basedOn w:val="BodyText"/>
    <w:rsid w:val="00575959"/>
    <w:pPr>
      <w:spacing w:before="120"/>
    </w:pPr>
    <w:rPr>
      <w:rFonts w:ascii="Arial" w:hAnsi="Arial"/>
      <w:i/>
      <w:iCs/>
      <w:sz w:val="18"/>
    </w:rPr>
  </w:style>
  <w:style w:type="paragraph" w:customStyle="1" w:styleId="Footer-landscape-letter">
    <w:name w:val="Footer-landscape-letter"/>
    <w:basedOn w:val="Footer-landscape-legal"/>
    <w:qFormat/>
    <w:rsid w:val="005A11BC"/>
  </w:style>
  <w:style w:type="paragraph" w:customStyle="1" w:styleId="StyleHeading3FAM">
    <w:name w:val="Style Heading 3 FAM"/>
    <w:basedOn w:val="Heading3"/>
    <w:next w:val="FAM-Subsection"/>
    <w:rsid w:val="00F363DF"/>
    <w:pPr>
      <w:spacing w:before="180" w:after="180"/>
      <w:ind w:left="360"/>
    </w:pPr>
    <w:rPr>
      <w:rFonts w:ascii="Arial" w:hAnsi="Arial" w:cs="Times New Roman"/>
      <w:iCs w:val="0"/>
      <w:szCs w:val="20"/>
    </w:rPr>
  </w:style>
  <w:style w:type="paragraph" w:customStyle="1" w:styleId="StyleFAMBullet2">
    <w:name w:val="Style FAM Bullet 2"/>
    <w:basedOn w:val="FAMhangingindent2"/>
    <w:qFormat/>
    <w:rsid w:val="00337828"/>
    <w:pPr>
      <w:numPr>
        <w:numId w:val="33"/>
      </w:numPr>
    </w:pPr>
  </w:style>
  <w:style w:type="paragraph" w:customStyle="1" w:styleId="StyleFAM-Bullet-2b">
    <w:name w:val="Style FAM-Bullet-2b"/>
    <w:basedOn w:val="FAM-Bullet-2"/>
    <w:rsid w:val="00337828"/>
    <w:rPr>
      <w:rFonts w:ascii="Arial" w:hAnsi="Arial"/>
      <w:sz w:val="22"/>
    </w:rPr>
  </w:style>
  <w:style w:type="paragraph" w:customStyle="1" w:styleId="Style2FAMBullet2B">
    <w:name w:val="Style2 FAM Bullet 2B"/>
    <w:basedOn w:val="FAM-Bullet-2"/>
    <w:qFormat/>
    <w:rsid w:val="00AA179A"/>
    <w:pPr>
      <w:numPr>
        <w:ilvl w:val="1"/>
        <w:numId w:val="8"/>
      </w:numPr>
      <w:tabs>
        <w:tab w:val="clear" w:pos="2880"/>
      </w:tabs>
      <w:ind w:left="2520"/>
    </w:pPr>
    <w:rPr>
      <w:rFonts w:ascii="Arial" w:hAnsi="Arial" w:cs="Arial"/>
      <w:sz w:val="22"/>
    </w:rPr>
  </w:style>
  <w:style w:type="paragraph" w:customStyle="1" w:styleId="FAMContinuation1">
    <w:name w:val="FAM Continuation 1"/>
    <w:basedOn w:val="Normal"/>
    <w:qFormat/>
    <w:rsid w:val="00DC3343"/>
    <w:pPr>
      <w:widowControl/>
      <w:tabs>
        <w:tab w:val="left" w:pos="1440"/>
      </w:tabs>
      <w:adjustRightInd/>
      <w:ind w:left="1440"/>
      <w:textAlignment w:val="auto"/>
    </w:pPr>
  </w:style>
  <w:style w:type="paragraph" w:customStyle="1" w:styleId="TableFigureTitle">
    <w:name w:val="Table / Figure Title"/>
    <w:basedOn w:val="Normal"/>
    <w:qFormat/>
    <w:rsid w:val="00DC3343"/>
    <w:pPr>
      <w:keepNext/>
      <w:keepLines/>
      <w:widowControl/>
      <w:tabs>
        <w:tab w:val="left" w:pos="1440"/>
      </w:tabs>
      <w:adjustRightInd/>
      <w:ind w:left="1440"/>
      <w:textAlignment w:val="auto"/>
    </w:pPr>
    <w:rPr>
      <w:b/>
      <w:u w:val="single"/>
    </w:rPr>
  </w:style>
  <w:style w:type="paragraph" w:customStyle="1" w:styleId="FAMHeading3">
    <w:name w:val="FAM Heading 3"/>
    <w:basedOn w:val="Heading3"/>
    <w:rsid w:val="00CD5550"/>
    <w:pPr>
      <w:spacing w:before="180" w:after="180"/>
      <w:ind w:left="360"/>
    </w:pPr>
    <w:rPr>
      <w:rFonts w:ascii="Arial" w:hAnsi="Arial" w:cs="Times New Roman"/>
      <w:iCs w:val="0"/>
      <w:szCs w:val="20"/>
    </w:rPr>
  </w:style>
  <w:style w:type="character" w:customStyle="1" w:styleId="FAMSubsectionChar">
    <w:name w:val="FAM Subsection Char"/>
    <w:basedOn w:val="DefaultParagraphFont"/>
    <w:link w:val="FAMSubsection"/>
    <w:rsid w:val="00CD5550"/>
    <w:rPr>
      <w:rFonts w:cs="Arial"/>
      <w:color w:val="000000"/>
      <w:szCs w:val="20"/>
    </w:rPr>
  </w:style>
  <w:style w:type="paragraph" w:styleId="ListBullet2">
    <w:name w:val="List Bullet 2"/>
    <w:basedOn w:val="Normal"/>
    <w:uiPriority w:val="99"/>
    <w:semiHidden/>
    <w:unhideWhenUsed/>
    <w:rsid w:val="003C24AA"/>
    <w:pPr>
      <w:numPr>
        <w:numId w:val="34"/>
      </w:numPr>
      <w:contextualSpacing/>
    </w:pPr>
  </w:style>
  <w:style w:type="character" w:styleId="FollowedHyperlink">
    <w:name w:val="FollowedHyperlink"/>
    <w:basedOn w:val="DefaultParagraphFont"/>
    <w:uiPriority w:val="99"/>
    <w:semiHidden/>
    <w:unhideWhenUsed/>
    <w:rsid w:val="00CA6FA7"/>
    <w:rPr>
      <w:color w:val="800080" w:themeColor="followedHyperlink"/>
      <w:u w:val="single"/>
    </w:rPr>
  </w:style>
  <w:style w:type="paragraph" w:customStyle="1" w:styleId="FAM-SubsectionSSK">
    <w:name w:val="FAM-Subsection SSK"/>
    <w:link w:val="FAM-SubsectionSSKChar"/>
    <w:rsid w:val="0010658C"/>
    <w:pPr>
      <w:tabs>
        <w:tab w:val="left" w:pos="1440"/>
      </w:tabs>
      <w:spacing w:before="120" w:after="120"/>
    </w:pPr>
    <w:rPr>
      <w:color w:val="000000"/>
    </w:rPr>
  </w:style>
  <w:style w:type="character" w:customStyle="1" w:styleId="FAM-SubsectionSSKChar">
    <w:name w:val="FAM-Subsection SSK Char"/>
    <w:basedOn w:val="DefaultParagraphFont"/>
    <w:link w:val="FAM-SubsectionSSK"/>
    <w:rsid w:val="0010658C"/>
    <w:rPr>
      <w:color w:val="000000"/>
    </w:rPr>
  </w:style>
  <w:style w:type="paragraph" w:customStyle="1" w:styleId="FAMHeading5">
    <w:name w:val="FAM Heading 5"/>
    <w:basedOn w:val="FAM-Subsection"/>
    <w:qFormat/>
    <w:rsid w:val="009420B5"/>
    <w:pPr>
      <w:widowControl/>
      <w:numPr>
        <w:numId w:val="0"/>
      </w:numPr>
      <w:adjustRightInd/>
      <w:spacing w:before="180" w:after="180"/>
      <w:ind w:left="720"/>
      <w:textAlignment w:val="auto"/>
      <w:outlineLvl w:val="5"/>
    </w:pPr>
    <w:rPr>
      <w:b/>
      <w:color w:val="auto"/>
      <w:sz w:val="24"/>
    </w:rPr>
  </w:style>
  <w:style w:type="character" w:customStyle="1" w:styleId="SC465550">
    <w:name w:val="SC.4.65550"/>
    <w:uiPriority w:val="99"/>
    <w:rsid w:val="00FE7E61"/>
    <w:rPr>
      <w:rFonts w:cs="OMDAA K+ Century"/>
      <w:color w:val="000000"/>
      <w:sz w:val="20"/>
      <w:szCs w:val="20"/>
    </w:rPr>
  </w:style>
  <w:style w:type="paragraph" w:customStyle="1" w:styleId="StyleArialBoldLeft-001">
    <w:name w:val="Style Arial Bold Left:  -0.01&quot;"/>
    <w:basedOn w:val="Normal"/>
    <w:rsid w:val="00550FB9"/>
    <w:pPr>
      <w:autoSpaceDE w:val="0"/>
      <w:autoSpaceDN w:val="0"/>
      <w:textAlignment w:val="auto"/>
    </w:pPr>
    <w:rPr>
      <w:b/>
      <w:bCs/>
      <w:szCs w:val="20"/>
    </w:rPr>
  </w:style>
  <w:style w:type="character" w:styleId="UnresolvedMention">
    <w:name w:val="Unresolved Mention"/>
    <w:basedOn w:val="DefaultParagraphFont"/>
    <w:uiPriority w:val="99"/>
    <w:semiHidden/>
    <w:unhideWhenUsed/>
    <w:rsid w:val="00D951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39579">
      <w:bodyDiv w:val="1"/>
      <w:marLeft w:val="0"/>
      <w:marRight w:val="0"/>
      <w:marTop w:val="0"/>
      <w:marBottom w:val="0"/>
      <w:divBdr>
        <w:top w:val="none" w:sz="0" w:space="0" w:color="auto"/>
        <w:left w:val="none" w:sz="0" w:space="0" w:color="auto"/>
        <w:bottom w:val="none" w:sz="0" w:space="0" w:color="auto"/>
        <w:right w:val="none" w:sz="0" w:space="0" w:color="auto"/>
      </w:divBdr>
    </w:div>
    <w:div w:id="456293110">
      <w:bodyDiv w:val="1"/>
      <w:marLeft w:val="0"/>
      <w:marRight w:val="0"/>
      <w:marTop w:val="0"/>
      <w:marBottom w:val="0"/>
      <w:divBdr>
        <w:top w:val="none" w:sz="0" w:space="0" w:color="auto"/>
        <w:left w:val="none" w:sz="0" w:space="0" w:color="auto"/>
        <w:bottom w:val="none" w:sz="0" w:space="0" w:color="auto"/>
        <w:right w:val="none" w:sz="0" w:space="0" w:color="auto"/>
      </w:divBdr>
    </w:div>
    <w:div w:id="483933021">
      <w:bodyDiv w:val="1"/>
      <w:marLeft w:val="0"/>
      <w:marRight w:val="0"/>
      <w:marTop w:val="0"/>
      <w:marBottom w:val="0"/>
      <w:divBdr>
        <w:top w:val="none" w:sz="0" w:space="0" w:color="auto"/>
        <w:left w:val="none" w:sz="0" w:space="0" w:color="auto"/>
        <w:bottom w:val="none" w:sz="0" w:space="0" w:color="auto"/>
        <w:right w:val="none" w:sz="0" w:space="0" w:color="auto"/>
      </w:divBdr>
    </w:div>
    <w:div w:id="509298276">
      <w:bodyDiv w:val="1"/>
      <w:marLeft w:val="0"/>
      <w:marRight w:val="0"/>
      <w:marTop w:val="0"/>
      <w:marBottom w:val="0"/>
      <w:divBdr>
        <w:top w:val="none" w:sz="0" w:space="0" w:color="auto"/>
        <w:left w:val="none" w:sz="0" w:space="0" w:color="auto"/>
        <w:bottom w:val="none" w:sz="0" w:space="0" w:color="auto"/>
        <w:right w:val="none" w:sz="0" w:space="0" w:color="auto"/>
      </w:divBdr>
    </w:div>
    <w:div w:id="560486632">
      <w:bodyDiv w:val="1"/>
      <w:marLeft w:val="0"/>
      <w:marRight w:val="0"/>
      <w:marTop w:val="0"/>
      <w:marBottom w:val="0"/>
      <w:divBdr>
        <w:top w:val="none" w:sz="0" w:space="0" w:color="auto"/>
        <w:left w:val="none" w:sz="0" w:space="0" w:color="auto"/>
        <w:bottom w:val="none" w:sz="0" w:space="0" w:color="auto"/>
        <w:right w:val="none" w:sz="0" w:space="0" w:color="auto"/>
      </w:divBdr>
    </w:div>
    <w:div w:id="745492962">
      <w:bodyDiv w:val="1"/>
      <w:marLeft w:val="0"/>
      <w:marRight w:val="0"/>
      <w:marTop w:val="0"/>
      <w:marBottom w:val="0"/>
      <w:divBdr>
        <w:top w:val="none" w:sz="0" w:space="0" w:color="auto"/>
        <w:left w:val="none" w:sz="0" w:space="0" w:color="auto"/>
        <w:bottom w:val="none" w:sz="0" w:space="0" w:color="auto"/>
        <w:right w:val="none" w:sz="0" w:space="0" w:color="auto"/>
      </w:divBdr>
    </w:div>
    <w:div w:id="819150953">
      <w:bodyDiv w:val="1"/>
      <w:marLeft w:val="0"/>
      <w:marRight w:val="0"/>
      <w:marTop w:val="0"/>
      <w:marBottom w:val="0"/>
      <w:divBdr>
        <w:top w:val="none" w:sz="0" w:space="0" w:color="auto"/>
        <w:left w:val="none" w:sz="0" w:space="0" w:color="auto"/>
        <w:bottom w:val="none" w:sz="0" w:space="0" w:color="auto"/>
        <w:right w:val="none" w:sz="0" w:space="0" w:color="auto"/>
      </w:divBdr>
    </w:div>
    <w:div w:id="833758986">
      <w:bodyDiv w:val="1"/>
      <w:marLeft w:val="0"/>
      <w:marRight w:val="0"/>
      <w:marTop w:val="0"/>
      <w:marBottom w:val="0"/>
      <w:divBdr>
        <w:top w:val="none" w:sz="0" w:space="0" w:color="auto"/>
        <w:left w:val="none" w:sz="0" w:space="0" w:color="auto"/>
        <w:bottom w:val="none" w:sz="0" w:space="0" w:color="auto"/>
        <w:right w:val="none" w:sz="0" w:space="0" w:color="auto"/>
      </w:divBdr>
    </w:div>
    <w:div w:id="1356811006">
      <w:bodyDiv w:val="1"/>
      <w:marLeft w:val="0"/>
      <w:marRight w:val="0"/>
      <w:marTop w:val="0"/>
      <w:marBottom w:val="0"/>
      <w:divBdr>
        <w:top w:val="none" w:sz="0" w:space="0" w:color="auto"/>
        <w:left w:val="none" w:sz="0" w:space="0" w:color="auto"/>
        <w:bottom w:val="none" w:sz="0" w:space="0" w:color="auto"/>
        <w:right w:val="none" w:sz="0" w:space="0" w:color="auto"/>
      </w:divBdr>
    </w:div>
    <w:div w:id="1369139635">
      <w:bodyDiv w:val="1"/>
      <w:marLeft w:val="0"/>
      <w:marRight w:val="0"/>
      <w:marTop w:val="0"/>
      <w:marBottom w:val="0"/>
      <w:divBdr>
        <w:top w:val="none" w:sz="0" w:space="0" w:color="auto"/>
        <w:left w:val="none" w:sz="0" w:space="0" w:color="auto"/>
        <w:bottom w:val="none" w:sz="0" w:space="0" w:color="auto"/>
        <w:right w:val="none" w:sz="0" w:space="0" w:color="auto"/>
      </w:divBdr>
    </w:div>
    <w:div w:id="1408304583">
      <w:bodyDiv w:val="1"/>
      <w:marLeft w:val="0"/>
      <w:marRight w:val="0"/>
      <w:marTop w:val="0"/>
      <w:marBottom w:val="0"/>
      <w:divBdr>
        <w:top w:val="none" w:sz="0" w:space="0" w:color="auto"/>
        <w:left w:val="none" w:sz="0" w:space="0" w:color="auto"/>
        <w:bottom w:val="none" w:sz="0" w:space="0" w:color="auto"/>
        <w:right w:val="none" w:sz="0" w:space="0" w:color="auto"/>
      </w:divBdr>
    </w:div>
    <w:div w:id="1686665826">
      <w:bodyDiv w:val="1"/>
      <w:marLeft w:val="0"/>
      <w:marRight w:val="0"/>
      <w:marTop w:val="0"/>
      <w:marBottom w:val="0"/>
      <w:divBdr>
        <w:top w:val="none" w:sz="0" w:space="0" w:color="auto"/>
        <w:left w:val="none" w:sz="0" w:space="0" w:color="auto"/>
        <w:bottom w:val="none" w:sz="0" w:space="0" w:color="auto"/>
        <w:right w:val="none" w:sz="0" w:space="0" w:color="auto"/>
      </w:divBdr>
    </w:div>
    <w:div w:id="1738356269">
      <w:bodyDiv w:val="1"/>
      <w:marLeft w:val="0"/>
      <w:marRight w:val="0"/>
      <w:marTop w:val="0"/>
      <w:marBottom w:val="0"/>
      <w:divBdr>
        <w:top w:val="none" w:sz="0" w:space="0" w:color="auto"/>
        <w:left w:val="none" w:sz="0" w:space="0" w:color="auto"/>
        <w:bottom w:val="none" w:sz="0" w:space="0" w:color="auto"/>
        <w:right w:val="none" w:sz="0" w:space="0" w:color="auto"/>
      </w:divBdr>
    </w:div>
    <w:div w:id="1818104106">
      <w:bodyDiv w:val="1"/>
      <w:marLeft w:val="0"/>
      <w:marRight w:val="0"/>
      <w:marTop w:val="0"/>
      <w:marBottom w:val="0"/>
      <w:divBdr>
        <w:top w:val="none" w:sz="0" w:space="0" w:color="auto"/>
        <w:left w:val="none" w:sz="0" w:space="0" w:color="auto"/>
        <w:bottom w:val="none" w:sz="0" w:space="0" w:color="auto"/>
        <w:right w:val="none" w:sz="0" w:space="0" w:color="auto"/>
      </w:divBdr>
    </w:div>
    <w:div w:id="1833642062">
      <w:bodyDiv w:val="1"/>
      <w:marLeft w:val="0"/>
      <w:marRight w:val="0"/>
      <w:marTop w:val="0"/>
      <w:marBottom w:val="0"/>
      <w:divBdr>
        <w:top w:val="none" w:sz="0" w:space="0" w:color="auto"/>
        <w:left w:val="none" w:sz="0" w:space="0" w:color="auto"/>
        <w:bottom w:val="none" w:sz="0" w:space="0" w:color="auto"/>
        <w:right w:val="none" w:sz="0" w:space="0" w:color="auto"/>
      </w:divBdr>
      <w:divsChild>
        <w:div w:id="933513090">
          <w:marLeft w:val="0"/>
          <w:marRight w:val="0"/>
          <w:marTop w:val="0"/>
          <w:marBottom w:val="0"/>
          <w:divBdr>
            <w:top w:val="none" w:sz="0" w:space="0" w:color="auto"/>
            <w:left w:val="none" w:sz="0" w:space="0" w:color="auto"/>
            <w:bottom w:val="none" w:sz="0" w:space="0" w:color="auto"/>
            <w:right w:val="none" w:sz="0" w:space="0" w:color="auto"/>
          </w:divBdr>
        </w:div>
      </w:divsChild>
    </w:div>
    <w:div w:id="1843155073">
      <w:bodyDiv w:val="1"/>
      <w:marLeft w:val="0"/>
      <w:marRight w:val="0"/>
      <w:marTop w:val="0"/>
      <w:marBottom w:val="0"/>
      <w:divBdr>
        <w:top w:val="none" w:sz="0" w:space="0" w:color="auto"/>
        <w:left w:val="none" w:sz="0" w:space="0" w:color="auto"/>
        <w:bottom w:val="none" w:sz="0" w:space="0" w:color="auto"/>
        <w:right w:val="none" w:sz="0" w:space="0" w:color="auto"/>
      </w:divBdr>
    </w:div>
    <w:div w:id="210930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gao.gov/financial_audit_manual" TargetMode="External"/><Relationship Id="rId21" Type="http://schemas.openxmlformats.org/officeDocument/2006/relationships/header" Target="header8.xml"/><Relationship Id="rId42" Type="http://schemas.openxmlformats.org/officeDocument/2006/relationships/footer" Target="footer17.xml"/><Relationship Id="rId47" Type="http://schemas.openxmlformats.org/officeDocument/2006/relationships/header" Target="header20.xml"/><Relationship Id="rId63" Type="http://schemas.openxmlformats.org/officeDocument/2006/relationships/header" Target="header28.xml"/><Relationship Id="rId68" Type="http://schemas.openxmlformats.org/officeDocument/2006/relationships/footer" Target="footer30.xml"/><Relationship Id="rId16" Type="http://schemas.openxmlformats.org/officeDocument/2006/relationships/header" Target="header5.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footer" Target="footer12.xml"/><Relationship Id="rId37" Type="http://schemas.openxmlformats.org/officeDocument/2006/relationships/header" Target="header15.xml"/><Relationship Id="rId40" Type="http://schemas.openxmlformats.org/officeDocument/2006/relationships/footer" Target="footer16.xml"/><Relationship Id="rId45" Type="http://schemas.openxmlformats.org/officeDocument/2006/relationships/header" Target="header19.xml"/><Relationship Id="rId53" Type="http://schemas.openxmlformats.org/officeDocument/2006/relationships/header" Target="header23.xml"/><Relationship Id="rId58" Type="http://schemas.openxmlformats.org/officeDocument/2006/relationships/header" Target="header26.xml"/><Relationship Id="rId66" Type="http://schemas.openxmlformats.org/officeDocument/2006/relationships/header" Target="header30.xml"/><Relationship Id="rId74" Type="http://schemas.openxmlformats.org/officeDocument/2006/relationships/footer" Target="footer33.xm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eader" Target="header27.xml"/><Relationship Id="rId19" Type="http://schemas.openxmlformats.org/officeDocument/2006/relationships/footer" Target="footer6.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footer" Target="footer20.xml"/><Relationship Id="rId56" Type="http://schemas.openxmlformats.org/officeDocument/2006/relationships/footer" Target="footer24.xml"/><Relationship Id="rId64" Type="http://schemas.openxmlformats.org/officeDocument/2006/relationships/footer" Target="footer28.xml"/><Relationship Id="rId69" Type="http://schemas.openxmlformats.org/officeDocument/2006/relationships/header" Target="header31.xml"/><Relationship Id="rId77" Type="http://schemas.openxmlformats.org/officeDocument/2006/relationships/footer" Target="footer34.xml"/><Relationship Id="rId8" Type="http://schemas.openxmlformats.org/officeDocument/2006/relationships/header" Target="header1.xml"/><Relationship Id="rId51" Type="http://schemas.openxmlformats.org/officeDocument/2006/relationships/footer" Target="footer21.xml"/><Relationship Id="rId72" Type="http://schemas.openxmlformats.org/officeDocument/2006/relationships/header" Target="header33.xm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3.xml"/><Relationship Id="rId38" Type="http://schemas.openxmlformats.org/officeDocument/2006/relationships/footer" Target="footer15.xml"/><Relationship Id="rId46" Type="http://schemas.openxmlformats.org/officeDocument/2006/relationships/footer" Target="footer19.xml"/><Relationship Id="rId59" Type="http://schemas.openxmlformats.org/officeDocument/2006/relationships/footer" Target="footer25.xml"/><Relationship Id="rId67" Type="http://schemas.openxmlformats.org/officeDocument/2006/relationships/footer" Target="footer29.xml"/><Relationship Id="rId20" Type="http://schemas.openxmlformats.org/officeDocument/2006/relationships/header" Target="header7.xml"/><Relationship Id="rId41" Type="http://schemas.openxmlformats.org/officeDocument/2006/relationships/header" Target="header17.xml"/><Relationship Id="rId54" Type="http://schemas.openxmlformats.org/officeDocument/2006/relationships/footer" Target="footer23.xml"/><Relationship Id="rId62" Type="http://schemas.openxmlformats.org/officeDocument/2006/relationships/footer" Target="footer27.xml"/><Relationship Id="rId70" Type="http://schemas.openxmlformats.org/officeDocument/2006/relationships/footer" Target="footer31.xml"/><Relationship Id="rId75" Type="http://schemas.openxmlformats.org/officeDocument/2006/relationships/header" Target="header3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footer" Target="footer14.xml"/><Relationship Id="rId49" Type="http://schemas.openxmlformats.org/officeDocument/2006/relationships/header" Target="header21.xml"/><Relationship Id="rId57" Type="http://schemas.openxmlformats.org/officeDocument/2006/relationships/header" Target="header25.xml"/><Relationship Id="rId10" Type="http://schemas.openxmlformats.org/officeDocument/2006/relationships/footer" Target="footer1.xml"/><Relationship Id="rId31" Type="http://schemas.openxmlformats.org/officeDocument/2006/relationships/header" Target="header12.xml"/><Relationship Id="rId44" Type="http://schemas.openxmlformats.org/officeDocument/2006/relationships/footer" Target="footer18.xml"/><Relationship Id="rId52" Type="http://schemas.openxmlformats.org/officeDocument/2006/relationships/footer" Target="footer22.xml"/><Relationship Id="rId60" Type="http://schemas.openxmlformats.org/officeDocument/2006/relationships/footer" Target="footer26.xml"/><Relationship Id="rId65" Type="http://schemas.openxmlformats.org/officeDocument/2006/relationships/header" Target="header29.xml"/><Relationship Id="rId73" Type="http://schemas.openxmlformats.org/officeDocument/2006/relationships/footer" Target="footer32.xml"/><Relationship Id="rId78" Type="http://schemas.openxmlformats.org/officeDocument/2006/relationships/footer" Target="footer35.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6.xml"/><Relationship Id="rId39" Type="http://schemas.openxmlformats.org/officeDocument/2006/relationships/header" Target="header16.xml"/><Relationship Id="rId34" Type="http://schemas.openxmlformats.org/officeDocument/2006/relationships/footer" Target="footer13.xml"/><Relationship Id="rId50" Type="http://schemas.openxmlformats.org/officeDocument/2006/relationships/header" Target="header22.xml"/><Relationship Id="rId55" Type="http://schemas.openxmlformats.org/officeDocument/2006/relationships/header" Target="header24.xml"/><Relationship Id="rId76" Type="http://schemas.openxmlformats.org/officeDocument/2006/relationships/header" Target="header35.xml"/><Relationship Id="rId7" Type="http://schemas.openxmlformats.org/officeDocument/2006/relationships/endnotes" Target="endnotes.xml"/><Relationship Id="rId71" Type="http://schemas.openxmlformats.org/officeDocument/2006/relationships/header" Target="header32.xml"/><Relationship Id="rId2" Type="http://schemas.openxmlformats.org/officeDocument/2006/relationships/numbering" Target="numbering.xml"/><Relationship Id="rId29" Type="http://schemas.openxmlformats.org/officeDocument/2006/relationships/footer" Target="footer10.xml"/></Relationships>
</file>

<file path=word/_rels/footnotes.xml.rels><?xml version="1.0" encoding="UTF-8" standalone="yes"?>
<Relationships xmlns="http://schemas.openxmlformats.org/package/2006/relationships"><Relationship Id="rId3" Type="http://schemas.openxmlformats.org/officeDocument/2006/relationships/hyperlink" Target="https://tfx.treasury.gov" TargetMode="External"/><Relationship Id="rId2" Type="http://schemas.openxmlformats.org/officeDocument/2006/relationships/hyperlink" Target="https://www.whitehouse.gov/omb/information-for-agencies/circulars/" TargetMode="External"/><Relationship Id="rId1" Type="http://schemas.openxmlformats.org/officeDocument/2006/relationships/hyperlink" Target="https://www.gao.gov/products/gao-09-232g" TargetMode="External"/><Relationship Id="rId4" Type="http://schemas.openxmlformats.org/officeDocument/2006/relationships/hyperlink" Target="https://www.gao.gov/products/gao-05-734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22DD9-8D65-4EA2-A6A5-25B3C01E6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87</Pages>
  <Words>29185</Words>
  <Characters>170909</Characters>
  <Application>Microsoft Office Word</Application>
  <DocSecurity>0</DocSecurity>
  <Lines>1424</Lines>
  <Paragraphs>399</Paragraphs>
  <ScaleCrop>false</ScaleCrop>
  <HeadingPairs>
    <vt:vector size="2" baseType="variant">
      <vt:variant>
        <vt:lpstr>Title</vt:lpstr>
      </vt:variant>
      <vt:variant>
        <vt:i4>1</vt:i4>
      </vt:variant>
    </vt:vector>
  </HeadingPairs>
  <TitlesOfParts>
    <vt:vector size="1" baseType="lpstr">
      <vt:lpstr/>
    </vt:vector>
  </TitlesOfParts>
  <Company>GAO</Company>
  <LinksUpToDate>false</LinksUpToDate>
  <CharactersWithSpaces>199695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STOLTZR</dc:creator>
  <cp:keywords/>
  <dc:description/>
  <cp:lastModifiedBy>To, Lien T</cp:lastModifiedBy>
  <cp:revision>13</cp:revision>
  <cp:lastPrinted>2024-06-18T01:20:00Z</cp:lastPrinted>
  <dcterms:created xsi:type="dcterms:W3CDTF">2024-06-16T19:46:00Z</dcterms:created>
  <dcterms:modified xsi:type="dcterms:W3CDTF">2024-06-19T04:20:00Z</dcterms:modified>
</cp:coreProperties>
</file>